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720"/>
      </w:pPr>
    </w:p>
    <w:p>
      <w:pPr>
        <w:jc w:val="left"/>
      </w:pPr>
      <w:r>
        <w:rPr>
          <w:b/>
          <w:color w:val="2F6B5F"/>
          <w:sz w:val="20"/>
        </w:rPr>
        <w:t>PROPUESTA DE PROGRAMA</w:t>
      </w:r>
    </w:p>
    <w:p>
      <w:pPr>
        <w:pStyle w:val="Title"/>
      </w:pPr>
      <w:r>
        <w:t>Proyecto integral de los primeros 1000 días en Meki y Gambo</w:t>
      </w:r>
    </w:p>
    <w:p>
      <w:pPr>
        <w:spacing w:after="560"/>
      </w:pPr>
      <w:r>
        <w:rPr>
          <w:color w:val="66706F"/>
          <w:sz w:val="30"/>
        </w:rPr>
        <w:t>Diseño operativo para salud materna neonatal nutrición desarrollo infantil y resiliencia rural</w:t>
      </w:r>
    </w:p>
    <w:p>
      <w:pPr>
        <w:spacing w:after="120"/>
      </w:pPr>
      <w:r>
        <w:rPr>
          <w:b/>
          <w:color w:val="2F6B5F"/>
        </w:rPr>
        <w:t xml:space="preserve">Ámbito  </w:t>
      </w:r>
      <w:r>
        <w:t>Meki y Gambo, región de Oromía, Etiopía</w:t>
      </w:r>
    </w:p>
    <w:p>
      <w:pPr>
        <w:spacing w:after="120"/>
      </w:pPr>
      <w:r>
        <w:rPr>
          <w:b/>
          <w:color w:val="2F6B5F"/>
        </w:rPr>
        <w:t xml:space="preserve">Horizonte  </w:t>
      </w:r>
      <w:r>
        <w:t>Enero de 2027 a diciembre de 2031</w:t>
      </w:r>
    </w:p>
    <w:p>
      <w:pPr>
        <w:spacing w:after="120"/>
      </w:pPr>
      <w:r>
        <w:rPr>
          <w:b/>
          <w:color w:val="2F6B5F"/>
        </w:rPr>
        <w:t xml:space="preserve">Duración  </w:t>
      </w:r>
      <w:r>
        <w:t>60 meses con una fase inicial de validación de 100 días</w:t>
      </w:r>
    </w:p>
    <w:p>
      <w:pPr>
        <w:spacing w:after="120"/>
      </w:pPr>
      <w:r>
        <w:rPr>
          <w:b/>
          <w:color w:val="2F6B5F"/>
        </w:rPr>
        <w:t xml:space="preserve">Escenario financiero  </w:t>
      </w:r>
      <w:r>
        <w:t>8,0 millones de euros sujetos a línea de base y acuerdos con las autoridades</w:t>
      </w:r>
    </w:p>
    <w:p>
      <w:pPr>
        <w:spacing w:after="120"/>
      </w:pPr>
      <w:r>
        <w:rPr>
          <w:b/>
          <w:color w:val="2F6B5F"/>
        </w:rPr>
        <w:t xml:space="preserve">Versión  </w:t>
      </w:r>
      <w:r>
        <w:t>Documento de diseño 1.0  |  9 de octubre de 2026</w:t>
      </w:r>
    </w:p>
    <w:p>
      <w:pPr>
        <w:spacing w:after="400"/>
      </w:pPr>
    </w:p>
    <w:p>
      <w:pPr>
        <w:spacing w:before="400" w:line="288" w:lineRule="auto"/>
      </w:pPr>
      <w:r>
        <w:rPr>
          <w:b/>
        </w:rPr>
        <w:t xml:space="preserve">Decisión propuesta  </w:t>
      </w:r>
      <w:r>
        <w:t>Autorizar una fase de arranque de 100 días para cerrar acuerdos públicos, validar la población de cobertura y activar un modelo integrado que acompañe a cada mujer y cada niño desde el embarazo hasta los dos años de vida.</w:t>
      </w:r>
    </w:p>
    <w:p>
      <w:r>
        <w:br w:type="page"/>
      </w:r>
    </w:p>
    <w:p>
      <w:pPr>
        <w:pStyle w:val="Heading1"/>
      </w:pPr>
      <w:r>
        <w:t>Resumen ejecutivo</w:t>
      </w:r>
    </w:p>
    <w:p>
      <w:r>
        <w:t>Recomendamos poner en marcha un programa de cinco años que conecte atención primaria, nutrición, agua y saneamiento, protección social y desarrollo infantil temprano en dos redes rurales de Oromía. El programa usará a Meki y Gambo como nodos clínicos y de aprendizaje, y reforzará los puestos de salud, los centros de salud, las trabajadoras de extensión sanitaria y las estructuras comunitarias existentes. No creará un sistema paralelo.</w:t>
      </w:r>
    </w:p>
    <w:p>
      <w:r>
        <w:t>El programa se diseña sobre un escenario inicial de 300.000 habitantes, unas 9.000 gestaciones anuales, 17.000 niños menores de dos años en un momento dado, 60 puestos de salud y 12 centros de salud. Estas cifras sirven para dimensionar personal, suministros y presupuesto; no son una línea de base. Durante los primeros 100 días se validarán con los woredas, las redes públicas y los socios locales. Las metas y el presupuesto se recalibrarán antes del despliegue completo.</w:t>
      </w:r>
    </w:p>
    <w:p>
      <w:r>
        <w:t>El paquete combina continuidad asistencial durante el embarazo, parto seguro y atención neonatal; lactancia y alimentación complementaria; detección y tratamiento de la malnutrición; inmunización y manejo integrado de enfermedades infantiles; salud mental y protección materna; agua, saneamiento e higiene; apoyo a dietas asequibles; juego y comunicación responsiva; y un sistema de referencia con transporte de emergencia. La prestación se organiza alrededor de un registro nominal de la díada madre niño y un plan de contactos según riesgo.</w:t>
      </w:r>
    </w:p>
    <w:p>
      <w:r>
        <w:t>La inversión indicativa es de 8,0 millones de euros durante cinco años. El programa liberará financiación por etapas: primero para acuerdos, línea de base y seguridad clínica; después para expansión, condicionada a calidad de datos, disponibilidad de suministros y capacidad de referencia. El resultado principal no será el número de actividades, sino la proporción de madres y niños que reciben a tiempo el conjunto completo de cuidados que necesitan.</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338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Resultado a 2031</w:t>
            </w:r>
          </w:p>
        </w:tc>
        <w:tc>
          <w:tcPr>
            <w:tcW w:type="dxa" w:w="237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Meta de diseño</w:t>
            </w:r>
          </w:p>
        </w:tc>
        <w:tc>
          <w:tcPr>
            <w:tcW w:type="dxa" w:w="381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Cómo se comprobará</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Mortalidad neonatal</w:t>
            </w:r>
          </w:p>
        </w:tc>
        <w:tc>
          <w:tcPr>
            <w:tcW w:type="dxa" w:w="237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Reducción relativa de al menos 20 por ciento</w:t>
            </w:r>
          </w:p>
        </w:tc>
        <w:tc>
          <w:tcPr>
            <w:tcW w:type="dxa" w:w="38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Cohortes de nacimientos, registros y verificación independiente</w:t>
            </w:r>
          </w:p>
        </w:tc>
      </w:tr>
      <w:tr>
        <w:trPr>
          <w:cantSplit/>
        </w:trPr>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Retraso del crecimiento entre 6 y 23 meses</w:t>
            </w:r>
          </w:p>
        </w:tc>
        <w:tc>
          <w:tcPr>
            <w:tcW w:type="dxa" w:w="237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Reducción relativa de al menos 20 por ciento</w:t>
            </w:r>
          </w:p>
        </w:tc>
        <w:tc>
          <w:tcPr>
            <w:tcW w:type="dxa" w:w="381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Encuestas de base, medio término y final</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Atención posnatal en 48 horas</w:t>
            </w:r>
          </w:p>
        </w:tc>
        <w:tc>
          <w:tcPr>
            <w:tcW w:type="dxa" w:w="237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Al menos 80 por ciento</w:t>
            </w:r>
          </w:p>
        </w:tc>
        <w:tc>
          <w:tcPr>
            <w:tcW w:type="dxa" w:w="38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Registro nominal y contraste con encuestas</w:t>
            </w:r>
          </w:p>
        </w:tc>
      </w:tr>
      <w:tr>
        <w:trPr>
          <w:cantSplit/>
        </w:trPr>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Lactancia materna exclusiva hasta 6 meses</w:t>
            </w:r>
          </w:p>
        </w:tc>
        <w:tc>
          <w:tcPr>
            <w:tcW w:type="dxa" w:w="237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Al menos 75 por ciento</w:t>
            </w:r>
          </w:p>
        </w:tc>
        <w:tc>
          <w:tcPr>
            <w:tcW w:type="dxa" w:w="381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Encuesta poblacional con indicador OMS</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Dieta mínima diversa entre 6 y 23 meses</w:t>
            </w:r>
          </w:p>
        </w:tc>
        <w:tc>
          <w:tcPr>
            <w:tcW w:type="dxa" w:w="237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Aumento mínimo de 25 puntos porcentuales</w:t>
            </w:r>
          </w:p>
        </w:tc>
        <w:tc>
          <w:tcPr>
            <w:tcW w:type="dxa" w:w="38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Encuesta poblacional y sesiones de seguimiento</w:t>
            </w:r>
          </w:p>
        </w:tc>
      </w:tr>
      <w:tr>
        <w:trPr>
          <w:cantSplit/>
        </w:trPr>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Niños cero dosis</w:t>
            </w:r>
          </w:p>
        </w:tc>
        <w:tc>
          <w:tcPr>
            <w:tcW w:type="dxa" w:w="237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Reducción de al menos 50 por ciento</w:t>
            </w:r>
          </w:p>
        </w:tc>
        <w:tc>
          <w:tcPr>
            <w:tcW w:type="dxa" w:w="381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Registro de inmunización y encuesta de cobertura</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Malnutrición aguda grave sin complicaciones</w:t>
            </w:r>
          </w:p>
        </w:tc>
        <w:tc>
          <w:tcPr>
            <w:tcW w:type="dxa" w:w="237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Curación superior a 75 por ciento</w:t>
            </w:r>
          </w:p>
        </w:tc>
        <w:tc>
          <w:tcPr>
            <w:tcW w:type="dxa" w:w="38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Registros OTP y auditoría de expedientes</w:t>
            </w:r>
          </w:p>
        </w:tc>
      </w:tr>
    </w:tbl>
    <w:p>
      <w:pPr>
        <w:spacing w:after="40"/>
      </w:pPr>
    </w:p>
    <w:p>
      <w:pPr>
        <w:pStyle w:val="Smallnote"/>
      </w:pPr>
      <w:r>
        <w:t>Las metas son provisionales hasta completar la línea de base. Se conservarán las definiciones oficiales de Etiopía y, cuando corresponda, los indicadores de OMS y UNICEF.</w:t>
      </w:r>
    </w:p>
    <w:p>
      <w:pPr>
        <w:pStyle w:val="Heading1"/>
      </w:pPr>
      <w:r>
        <w:t>Contenido</w:t>
      </w:r>
    </w:p>
    <w:p>
      <w:r>
        <w:t>1 Mandato y alcance</w:t>
      </w:r>
    </w:p>
    <w:p>
      <w:r>
        <w:t>2 Contexto y fundamento</w:t>
      </w:r>
    </w:p>
    <w:p>
      <w:r>
        <w:t>3 Población y focalización</w:t>
      </w:r>
    </w:p>
    <w:p>
      <w:r>
        <w:t>4 Teoría de cambio</w:t>
      </w:r>
    </w:p>
    <w:p>
      <w:r>
        <w:t>5 Resultados y marco lógico</w:t>
      </w:r>
    </w:p>
    <w:p>
      <w:r>
        <w:t>6 Modelo de intervención</w:t>
      </w:r>
    </w:p>
    <w:p>
      <w:r>
        <w:t>7 Modelo operativo</w:t>
      </w:r>
    </w:p>
    <w:p>
      <w:r>
        <w:t>8 Plan de implementación</w:t>
      </w:r>
    </w:p>
    <w:p>
      <w:r>
        <w:t>9 Gobernanza y equipo</w:t>
      </w:r>
    </w:p>
    <w:p>
      <w:r>
        <w:t>10 Seguimiento evaluación aprendizaje y rendición de cuentas</w:t>
      </w:r>
    </w:p>
    <w:p>
      <w:r>
        <w:t>11 Presupuesto y financiación</w:t>
      </w:r>
    </w:p>
    <w:p>
      <w:r>
        <w:t>12 Riesgos salvaguardas y continuidad</w:t>
      </w:r>
    </w:p>
    <w:p>
      <w:r>
        <w:t>13 Sostenibilidad y escala</w:t>
      </w:r>
    </w:p>
    <w:p>
      <w:r>
        <w:t>14 Plan de los primeros 100 días</w:t>
      </w:r>
    </w:p>
    <w:p>
      <w:r>
        <w:t>15 Decisiones requeridas</w:t>
      </w:r>
    </w:p>
    <w:p>
      <w:r>
        <w:t>Anexos operativos</w:t>
      </w:r>
    </w:p>
    <w:p>
      <w:r>
        <w:t>Fuentes</w:t>
      </w:r>
    </w:p>
    <w:p>
      <w:pPr>
        <w:pStyle w:val="Heading1"/>
      </w:pPr>
      <w:r>
        <w:t>1 Mandato y alcance</w:t>
      </w:r>
    </w:p>
    <w:p>
      <w:pPr>
        <w:pStyle w:val="Heading2"/>
      </w:pPr>
      <w:r>
        <w:t>1 1 Propósito</w:t>
      </w:r>
    </w:p>
    <w:p>
      <w:r>
        <w:t>El propósito es reducir muertes evitables, malnutrición y pérdida de desarrollo durante el periodo que va desde la concepción hasta el segundo cumpleaños. El proyecto también busca que las familias dispongan de servicios confiables, alimentos adecuados, prácticas de cuidado seguras y mecanismos de apoyo cuando una crisis climática o económica ponga en riesgo a la madre o al niño.</w:t>
      </w:r>
    </w:p>
    <w:p>
      <w:pPr>
        <w:pStyle w:val="Heading2"/>
      </w:pPr>
      <w:r>
        <w:t>1 2 Principios de diseño</w:t>
      </w:r>
    </w:p>
    <w:p>
      <w:pPr>
        <w:pStyle w:val="ListBullet"/>
        <w:spacing w:after="40"/>
      </w:pPr>
      <w:r>
        <w:t>Liderazgo público. Los woredas, la Oficina de Salud de Oromía y los establecimientos públicos conservan la rectoría, los protocolos y la propiedad de los datos.</w:t>
      </w:r>
    </w:p>
    <w:p>
      <w:pPr>
        <w:pStyle w:val="ListBullet"/>
        <w:spacing w:after="40"/>
      </w:pPr>
      <w:r>
        <w:t>Una sola trayectoria de atención. Cada mujer y cada niño tendrá un registro, un plan de contactos y un responsable de seguimiento; se evitarán campañas desconectadas.</w:t>
      </w:r>
    </w:p>
    <w:p>
      <w:pPr>
        <w:pStyle w:val="ListBullet"/>
        <w:spacing w:after="40"/>
      </w:pPr>
      <w:r>
        <w:t>Prioridad a quienes quedan fuera. Se mapearán hogares remotos, adolescentes embarazadas, familias desplazadas, hogares con discapacidad, madres solas y niños cero dosis.</w:t>
      </w:r>
    </w:p>
    <w:p>
      <w:pPr>
        <w:pStyle w:val="ListBullet"/>
        <w:spacing w:after="40"/>
      </w:pPr>
      <w:r>
        <w:t>Calidad antes que volumen. La expansión dependerá de competencias observadas, referencias completadas, disponibilidad de insumos y auditorías clínicas.</w:t>
      </w:r>
    </w:p>
    <w:p>
      <w:pPr>
        <w:pStyle w:val="ListBullet"/>
        <w:spacing w:after="40"/>
      </w:pPr>
      <w:r>
        <w:t>Recursos locales. La consejería alimentaria partirá de disponibilidad, precio, estacionalidad y costumbres locales, sin prescribir dietas inaccesibles.</w:t>
      </w:r>
    </w:p>
    <w:p>
      <w:pPr>
        <w:pStyle w:val="ListBullet"/>
        <w:spacing w:after="40"/>
      </w:pPr>
      <w:r>
        <w:t>Datos útiles y mínimos. Se aprovecharán HMIS y eCHIS; solo se añadirán variables que cambien una decisión clínica u operativa.</w:t>
      </w:r>
    </w:p>
    <w:p>
      <w:pPr>
        <w:pStyle w:val="ListBullet"/>
        <w:spacing w:after="40"/>
      </w:pPr>
      <w:r>
        <w:t>Protección y dignidad. La atención será consentida, confidencial, respetuosa y libre de explotación, abuso, discriminación o cobros informales.</w:t>
      </w:r>
    </w:p>
    <w:p>
      <w:pPr>
        <w:pStyle w:val="Heading2"/>
      </w:pPr>
      <w:r>
        <w:t>1 3 Alcance geográfico</w:t>
      </w:r>
    </w:p>
    <w:p>
      <w:r>
        <w:t>Meki y Gambo se tratarán como dos nodos operativos, no como una única zona continua. Meki se ubica en East Shewa y cuenta con una clínica materno infantil que presta atención pediátrica, prenatal, posnatal y obstétrica. Gambo dispone de un hospital rural, una unidad terapéutica nutricional y una red declarada de centros y puestos de salud. La delimitación exacta de kebeles, establecimientos y poblaciones se acordará durante el arranque. La expansión a un kebele exigirá capacidad de supervisión, suministro y referencia segura.</w:t>
      </w:r>
    </w:p>
    <w:p>
      <w:pPr>
        <w:pStyle w:val="Heading2"/>
      </w:pPr>
      <w:r>
        <w:t>1 4 Duración y etapas</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2520"/>
        <w:gridCol w:w="2520"/>
        <w:gridCol w:w="2520"/>
        <w:gridCol w:w="2520"/>
      </w:tblGrid>
      <w:tr>
        <w:trPr>
          <w:tblHeader w:val="true"/>
        </w:trPr>
        <w:tc>
          <w:tcPr>
            <w:tcW w:type="dxa" w:w="144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Etapa</w:t>
            </w:r>
          </w:p>
        </w:tc>
        <w:tc>
          <w:tcPr>
            <w:tcW w:type="dxa" w:w="100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Meses</w:t>
            </w:r>
          </w:p>
        </w:tc>
        <w:tc>
          <w:tcPr>
            <w:tcW w:type="dxa" w:w="381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Finalidad</w:t>
            </w:r>
          </w:p>
        </w:tc>
        <w:tc>
          <w:tcPr>
            <w:tcW w:type="dxa" w:w="331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Condición de salida</w:t>
            </w:r>
          </w:p>
        </w:tc>
      </w:tr>
      <w:tr>
        <w:trPr>
          <w:cantSplit/>
        </w:trPr>
        <w:tc>
          <w:tcPr>
            <w:tcW w:type="dxa" w:w="14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Preparación</w:t>
            </w:r>
          </w:p>
        </w:tc>
        <w:tc>
          <w:tcPr>
            <w:tcW w:type="dxa" w:w="100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1 a 6</w:t>
            </w:r>
          </w:p>
        </w:tc>
        <w:tc>
          <w:tcPr>
            <w:tcW w:type="dxa" w:w="38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Acuerdos, línea de base, diseño local y seguridad clínica</w:t>
            </w:r>
          </w:p>
        </w:tc>
        <w:tc>
          <w:tcPr>
            <w:tcW w:type="dxa" w:w="331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Mapa validado, tablero inicial, protocolos y suministros críticos</w:t>
            </w:r>
          </w:p>
        </w:tc>
      </w:tr>
      <w:tr>
        <w:trPr>
          <w:cantSplit/>
        </w:trPr>
        <w:tc>
          <w:tcPr>
            <w:tcW w:type="dxa" w:w="14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Estabilización</w:t>
            </w:r>
          </w:p>
        </w:tc>
        <w:tc>
          <w:tcPr>
            <w:tcW w:type="dxa" w:w="100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7"/>
              </w:rPr>
              <w:t>7 a 18</w:t>
            </w:r>
          </w:p>
        </w:tc>
        <w:tc>
          <w:tcPr>
            <w:tcW w:type="dxa" w:w="381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Cerrar fallos básicos de calidad y referencia</w:t>
            </w:r>
          </w:p>
        </w:tc>
        <w:tc>
          <w:tcPr>
            <w:tcW w:type="dxa" w:w="331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Competencias verificadas y al menos 70 por ciento de contactos trazables</w:t>
            </w:r>
          </w:p>
        </w:tc>
      </w:tr>
      <w:tr>
        <w:trPr>
          <w:cantSplit/>
        </w:trPr>
        <w:tc>
          <w:tcPr>
            <w:tcW w:type="dxa" w:w="14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Profundización</w:t>
            </w:r>
          </w:p>
        </w:tc>
        <w:tc>
          <w:tcPr>
            <w:tcW w:type="dxa" w:w="100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19 a 36</w:t>
            </w:r>
          </w:p>
        </w:tc>
        <w:tc>
          <w:tcPr>
            <w:tcW w:type="dxa" w:w="38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Cobertura completa del paquete y apoyo económico focalizado</w:t>
            </w:r>
          </w:p>
        </w:tc>
        <w:tc>
          <w:tcPr>
            <w:tcW w:type="dxa" w:w="331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Mejora documentada en cobertura y dietas</w:t>
            </w:r>
          </w:p>
        </w:tc>
      </w:tr>
      <w:tr>
        <w:trPr>
          <w:cantSplit/>
        </w:trPr>
        <w:tc>
          <w:tcPr>
            <w:tcW w:type="dxa" w:w="14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Consolidación</w:t>
            </w:r>
          </w:p>
        </w:tc>
        <w:tc>
          <w:tcPr>
            <w:tcW w:type="dxa" w:w="100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7"/>
              </w:rPr>
              <w:t>37 a 54</w:t>
            </w:r>
          </w:p>
        </w:tc>
        <w:tc>
          <w:tcPr>
            <w:tcW w:type="dxa" w:w="381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Transferencia gradual y aprendizaje entre redes</w:t>
            </w:r>
          </w:p>
        </w:tc>
        <w:tc>
          <w:tcPr>
            <w:tcW w:type="dxa" w:w="331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Costes recurrentes incorporados a planes locales</w:t>
            </w:r>
          </w:p>
        </w:tc>
      </w:tr>
      <w:tr>
        <w:trPr>
          <w:cantSplit/>
        </w:trPr>
        <w:tc>
          <w:tcPr>
            <w:tcW w:type="dxa" w:w="14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Transición</w:t>
            </w:r>
          </w:p>
        </w:tc>
        <w:tc>
          <w:tcPr>
            <w:tcW w:type="dxa" w:w="100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55 a 60</w:t>
            </w:r>
          </w:p>
        </w:tc>
        <w:tc>
          <w:tcPr>
            <w:tcW w:type="dxa" w:w="38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Evaluación final, transferencia y plan de escala</w:t>
            </w:r>
          </w:p>
        </w:tc>
        <w:tc>
          <w:tcPr>
            <w:tcW w:type="dxa" w:w="331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Responsables, presupuesto y activos formalmente entregados</w:t>
            </w:r>
          </w:p>
        </w:tc>
      </w:tr>
    </w:tbl>
    <w:p>
      <w:pPr>
        <w:spacing w:after="40"/>
      </w:pPr>
    </w:p>
    <w:p>
      <w:pPr>
        <w:pStyle w:val="Heading1"/>
      </w:pPr>
      <w:r>
        <w:t>2 Contexto y fundamento</w:t>
      </w:r>
    </w:p>
    <w:p>
      <w:pPr>
        <w:pStyle w:val="Heading2"/>
      </w:pPr>
      <w:r>
        <w:t>2 1 Situación nacional</w:t>
      </w:r>
    </w:p>
    <w:p>
      <w:r>
        <w:t>Etiopía ha ampliado la atención primaria mediante el Health Extension Programme, que sitúa trabajadoras de extensión sanitaria en los kebeles. El Ministerio de Salud describe este nivel comunitario como la puerta de entrada para promoción, prevención, atención básica y referencia. El sistema eCHIS digitaliza el registro familiar y los servicios comunitarios, aunque su despliegue todavía no es universal. El proyecto se apoyará en ambas estructuras y no financiará una aplicación independiente. [1] [2]</w:t>
      </w:r>
    </w:p>
    <w:p>
      <w:r>
        <w:t>La malnutrición sigue siendo elevada. UNICEF informó para 2024, con base en la encuesta nacional de alimentación y nutrición de 2022, un 39 por ciento de retraso del crecimiento, 11 por ciento de emaciación y 21 por ciento de bajo peso entre menores de cinco años. La lactancia exclusiva entre menores de seis meses fue del 61 por ciento. Estas cifras nacionales justifican la prioridad, pero no sustituyen una línea de base específica de Meki y Gambo. [3]</w:t>
      </w:r>
    </w:p>
    <w:p>
      <w:r>
        <w:t>La mortalidad neonatal continúa concentrando una parte importante de las muertes infantiles. La OMS estimó para Etiopía una mortalidad neonatal de 28,11 por mil nacidos vivos en 2022 y una mortalidad de menores de cinco años de 48,23 por mil. El Ministerio de Salud mantiene como prioridades la atención neonatal comunitaria, la detección de signos de peligro y la referencia temprana. [4] [5]</w:t>
      </w:r>
    </w:p>
    <w:p>
      <w:r>
        <w:t>La Seqota Declaration y el Programa Nacional de Nutrición sitúan los primeros 1.000 días en el centro de la respuesta y promueven intervenciones específicas y sensibles a la nutrición. El proyecto aplicará esa lógica multisectorial mediante salud, alimentación, agua y saneamiento, protección social y cuidado infantil. [6] [7]</w:t>
      </w:r>
    </w:p>
    <w:p>
      <w:pPr>
        <w:pStyle w:val="Heading2"/>
      </w:pPr>
      <w:r>
        <w:t>2 2 Capacidades locales sobre las que construir</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2520"/>
        <w:gridCol w:w="2520"/>
        <w:gridCol w:w="2520"/>
        <w:gridCol w:w="2520"/>
      </w:tblGrid>
      <w:tr>
        <w:trPr>
          <w:tblHeader w:val="true"/>
        </w:trPr>
        <w:tc>
          <w:tcPr>
            <w:tcW w:type="dxa" w:w="108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Nodo</w:t>
            </w:r>
          </w:p>
        </w:tc>
        <w:tc>
          <w:tcPr>
            <w:tcW w:type="dxa" w:w="352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Capacidad descrita públicamente</w:t>
            </w:r>
          </w:p>
        </w:tc>
        <w:tc>
          <w:tcPr>
            <w:tcW w:type="dxa" w:w="259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Uso propuesto</w:t>
            </w:r>
          </w:p>
        </w:tc>
        <w:tc>
          <w:tcPr>
            <w:tcW w:type="dxa" w:w="237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Validación necesaria</w:t>
            </w:r>
          </w:p>
        </w:tc>
      </w:tr>
      <w:tr>
        <w:trPr>
          <w:cantSplit/>
        </w:trPr>
        <w:tc>
          <w:tcPr>
            <w:tcW w:type="dxa" w:w="108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Meki</w:t>
            </w:r>
          </w:p>
        </w:tc>
        <w:tc>
          <w:tcPr>
            <w:tcW w:type="dxa" w:w="35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Clínica materno infantil con pediatría, atención de embarazo y posparto, laboratorio, unidad neonatal, paritorio y ambulancia</w:t>
            </w:r>
          </w:p>
        </w:tc>
        <w:tc>
          <w:tcPr>
            <w:tcW w:type="dxa" w:w="259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Nodo de referencia, formación, laboratorio y mejora neonatal</w:t>
            </w:r>
          </w:p>
        </w:tc>
        <w:tc>
          <w:tcPr>
            <w:tcW w:type="dxa" w:w="237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Cartera actual, cobertura, relación con red pública, capacidad 24 horas y costes</w:t>
            </w:r>
          </w:p>
        </w:tc>
      </w:tr>
      <w:tr>
        <w:trPr>
          <w:cantSplit/>
        </w:trPr>
        <w:tc>
          <w:tcPr>
            <w:tcW w:type="dxa" w:w="108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Gambo</w:t>
            </w:r>
          </w:p>
        </w:tc>
        <w:tc>
          <w:tcPr>
            <w:tcW w:type="dxa" w:w="352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Hospital rural, unidad terapéutica nutricional, seguimiento ambulatorio y red declarada de 10 centros y 50 puestos de salud</w:t>
            </w:r>
          </w:p>
        </w:tc>
        <w:tc>
          <w:tcPr>
            <w:tcW w:type="dxa" w:w="259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Nodo clínico, nutrición aguda, mentoría y coordinación de referencias</w:t>
            </w:r>
          </w:p>
        </w:tc>
        <w:tc>
          <w:tcPr>
            <w:tcW w:type="dxa" w:w="237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Establecimientos funcionales, plantilla, cobertura real y resultados de tratamiento</w:t>
            </w:r>
          </w:p>
        </w:tc>
      </w:tr>
    </w:tbl>
    <w:p>
      <w:pPr>
        <w:spacing w:after="40"/>
      </w:pPr>
    </w:p>
    <w:p>
      <w:pPr>
        <w:pStyle w:val="Smallnote"/>
      </w:pPr>
      <w:r>
        <w:t>Las capacidades locales proceden de información publicada por las organizaciones responsables y deben verificarse mediante visitas, registros y acuerdos institucionales. [8] [9] [10]</w:t>
      </w:r>
    </w:p>
    <w:p>
      <w:pPr>
        <w:pStyle w:val="Heading2"/>
      </w:pPr>
      <w:r>
        <w:t>2 3 Problemas que debe resolver el proyecto</w:t>
      </w:r>
    </w:p>
    <w:p>
      <w:pPr>
        <w:pStyle w:val="ListBullet"/>
        <w:spacing w:after="40"/>
      </w:pPr>
      <w:r>
        <w:t>Las mujeres pueden entrar tarde en atención prenatal y perder contactos esenciales por distancia, coste, carga de trabajo, normas sociales o baja percepción de calidad.</w:t>
      </w:r>
    </w:p>
    <w:p>
      <w:pPr>
        <w:pStyle w:val="ListBullet"/>
        <w:spacing w:after="40"/>
      </w:pPr>
      <w:r>
        <w:t>Los recién nacidos de riesgo pueden no ser identificados, estabilizados o trasladados a tiempo; la contrarreferencia es débil y la familia queda sin seguimiento.</w:t>
      </w:r>
    </w:p>
    <w:p>
      <w:pPr>
        <w:pStyle w:val="ListBullet"/>
        <w:spacing w:after="40"/>
      </w:pPr>
      <w:r>
        <w:t>La consejería sobre lactancia y alimentación complementaria puede ser genérica, sin observación de una toma, demostración culinaria ni adaptación al presupuesto familiar.</w:t>
      </w:r>
    </w:p>
    <w:p>
      <w:pPr>
        <w:pStyle w:val="ListBullet"/>
        <w:spacing w:after="40"/>
      </w:pPr>
      <w:r>
        <w:t>El cribado nutricional detecta casos, pero la continuidad entre comunidad, programa ambulatorio y hospital puede romperse por desabastecimiento, distancia o registros fragmentados.</w:t>
      </w:r>
    </w:p>
    <w:p>
      <w:pPr>
        <w:pStyle w:val="ListBullet"/>
        <w:spacing w:after="40"/>
      </w:pPr>
      <w:r>
        <w:t>Las infecciones, el agua insegura y el saneamiento deficiente reducen el efecto de la alimentación y aumentan diarrea, pérdida de peso y gasto familiar.</w:t>
      </w:r>
    </w:p>
    <w:p>
      <w:pPr>
        <w:pStyle w:val="ListBullet"/>
        <w:spacing w:after="40"/>
      </w:pPr>
      <w:r>
        <w:t>La depresión, violencia o agotamiento del cuidador afectan la capacidad de cuidado y suelen permanecer invisibles.</w:t>
      </w:r>
    </w:p>
    <w:p>
      <w:pPr>
        <w:pStyle w:val="ListBullet"/>
        <w:spacing w:after="40"/>
      </w:pPr>
      <w:r>
        <w:t>Agricultura, protección social, salud y WASH actúan con calendarios y listas distintas, de modo que los hogares de mayor riesgo no siempre reciben el paquete combinado.</w:t>
      </w:r>
    </w:p>
    <w:p>
      <w:pPr>
        <w:pStyle w:val="Heading1"/>
      </w:pPr>
      <w:r>
        <w:t>3 Población y focalización</w:t>
      </w:r>
    </w:p>
    <w:p>
      <w:pPr>
        <w:pStyle w:val="Heading2"/>
      </w:pPr>
      <w:r>
        <w:t>3 1 Escenario de dimensionamiento</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302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Variable</w:t>
            </w:r>
          </w:p>
        </w:tc>
        <w:tc>
          <w:tcPr>
            <w:tcW w:type="dxa" w:w="244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Supuesto inicial</w:t>
            </w:r>
          </w:p>
        </w:tc>
        <w:tc>
          <w:tcPr>
            <w:tcW w:type="dxa" w:w="403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Uso en el diseño</w:t>
            </w:r>
          </w:p>
        </w:tc>
      </w:tr>
      <w:tr>
        <w:trPr>
          <w:cantSplit/>
        </w:trPr>
        <w:tc>
          <w:tcPr>
            <w:tcW w:type="dxa" w:w="30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Población total de cobertura</w:t>
            </w:r>
          </w:p>
        </w:tc>
        <w:tc>
          <w:tcPr>
            <w:tcW w:type="dxa" w:w="244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300.000 personas</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Dimensionar redes, supervisión y coste por habitante</w:t>
            </w:r>
          </w:p>
        </w:tc>
      </w:tr>
      <w:tr>
        <w:trPr>
          <w:cantSplit/>
        </w:trPr>
        <w:tc>
          <w:tcPr>
            <w:tcW w:type="dxa" w:w="30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Gestaciones anuales</w:t>
            </w:r>
          </w:p>
        </w:tc>
        <w:tc>
          <w:tcPr>
            <w:tcW w:type="dxa" w:w="244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7"/>
              </w:rPr>
              <w:t>9.000</w:t>
            </w:r>
          </w:p>
        </w:tc>
        <w:tc>
          <w:tcPr>
            <w:tcW w:type="dxa" w:w="40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Planificar suplementos, contactos, parto y referencia</w:t>
            </w:r>
          </w:p>
        </w:tc>
      </w:tr>
      <w:tr>
        <w:trPr>
          <w:cantSplit/>
        </w:trPr>
        <w:tc>
          <w:tcPr>
            <w:tcW w:type="dxa" w:w="30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Nacimientos anuales</w:t>
            </w:r>
          </w:p>
        </w:tc>
        <w:tc>
          <w:tcPr>
            <w:tcW w:type="dxa" w:w="244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8.500</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Planificar atención neonatal e inmunización</w:t>
            </w:r>
          </w:p>
        </w:tc>
      </w:tr>
      <w:tr>
        <w:trPr>
          <w:cantSplit/>
        </w:trPr>
        <w:tc>
          <w:tcPr>
            <w:tcW w:type="dxa" w:w="30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Niños de 0 a 23 meses</w:t>
            </w:r>
          </w:p>
        </w:tc>
        <w:tc>
          <w:tcPr>
            <w:tcW w:type="dxa" w:w="244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17.000 en un momento dado</w:t>
            </w:r>
          </w:p>
        </w:tc>
        <w:tc>
          <w:tcPr>
            <w:tcW w:type="dxa" w:w="40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Planificar visitas, crecimiento, alimentación y desarrollo</w:t>
            </w:r>
          </w:p>
        </w:tc>
      </w:tr>
      <w:tr>
        <w:trPr>
          <w:cantSplit/>
        </w:trPr>
        <w:tc>
          <w:tcPr>
            <w:tcW w:type="dxa" w:w="30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Puestos de salud</w:t>
            </w:r>
          </w:p>
        </w:tc>
        <w:tc>
          <w:tcPr>
            <w:tcW w:type="dxa" w:w="244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60</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Equipamiento, mentoría, eCHIS y supervisión</w:t>
            </w:r>
          </w:p>
        </w:tc>
      </w:tr>
      <w:tr>
        <w:trPr>
          <w:cantSplit/>
        </w:trPr>
        <w:tc>
          <w:tcPr>
            <w:tcW w:type="dxa" w:w="30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Centros de salud</w:t>
            </w:r>
          </w:p>
        </w:tc>
        <w:tc>
          <w:tcPr>
            <w:tcW w:type="dxa" w:w="244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7"/>
              </w:rPr>
              <w:t>12</w:t>
            </w:r>
          </w:p>
        </w:tc>
        <w:tc>
          <w:tcPr>
            <w:tcW w:type="dxa" w:w="40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Atención obstétrica y neonatal básica y supervisión</w:t>
            </w:r>
          </w:p>
        </w:tc>
      </w:tr>
      <w:tr>
        <w:trPr>
          <w:cantSplit/>
        </w:trPr>
        <w:tc>
          <w:tcPr>
            <w:tcW w:type="dxa" w:w="30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Nodos de referencia</w:t>
            </w:r>
          </w:p>
        </w:tc>
        <w:tc>
          <w:tcPr>
            <w:tcW w:type="dxa" w:w="244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2</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Atención de complicaciones, nutrición grave y formación</w:t>
            </w:r>
          </w:p>
        </w:tc>
      </w:tr>
    </w:tbl>
    <w:p>
      <w:pPr>
        <w:spacing w:after="40"/>
      </w:pPr>
    </w:p>
    <w:p>
      <w:pPr>
        <w:pStyle w:val="Smallnote"/>
      </w:pPr>
      <w:r>
        <w:t>Estos supuestos no deben presentarse como población oficial ni como cobertura confirmada. El comité directivo los reemplazará por cifras acordadas antes del mes 4.</w:t>
      </w:r>
    </w:p>
    <w:p>
      <w:pPr>
        <w:pStyle w:val="Heading2"/>
      </w:pPr>
      <w:r>
        <w:t>3 2 Criterios de inclusión</w:t>
      </w:r>
    </w:p>
    <w:p>
      <w:r>
        <w:t>El programa será universal dentro de los kebeles seleccionados para todas las gestantes, madres posparto y niños hasta cumplir 24 meses. La intensidad del apoyo variará según riesgo. Nadie perderá servicios clínicos por no pertenecer a un grupo de pobreza o por carecer de documentación.</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165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Nivel</w:t>
            </w:r>
          </w:p>
        </w:tc>
        <w:tc>
          <w:tcPr>
            <w:tcW w:type="dxa" w:w="446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Criterios</w:t>
            </w:r>
          </w:p>
        </w:tc>
        <w:tc>
          <w:tcPr>
            <w:tcW w:type="dxa" w:w="338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Respuesta</w:t>
            </w:r>
          </w:p>
        </w:tc>
      </w:tr>
      <w:tr>
        <w:trPr>
          <w:cantSplit/>
        </w:trPr>
        <w:tc>
          <w:tcPr>
            <w:tcW w:type="dxa" w:w="165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Universal</w:t>
            </w:r>
          </w:p>
        </w:tc>
        <w:tc>
          <w:tcPr>
            <w:tcW w:type="dxa" w:w="446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Toda gestante y todo niño de 0 a 23 meses</w:t>
            </w:r>
          </w:p>
        </w:tc>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Registro, paquete de contactos, nutrición, inmunización, desarrollo y mecanismos de queja</w:t>
            </w:r>
          </w:p>
        </w:tc>
      </w:tr>
      <w:tr>
        <w:trPr>
          <w:cantSplit/>
        </w:trPr>
        <w:tc>
          <w:tcPr>
            <w:tcW w:type="dxa" w:w="165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Apoyo reforzado</w:t>
            </w:r>
          </w:p>
        </w:tc>
        <w:tc>
          <w:tcPr>
            <w:tcW w:type="dxa" w:w="446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Inicio prenatal tardío, adolescencia, bajo peso materno, anemia, parto previo complicado, bajo peso al nacer, gemelos, discapacidad o distancia elevada</w:t>
            </w:r>
          </w:p>
        </w:tc>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Visitas adicionales, plan de nacimiento, acompañamiento y seguimiento de referencia</w:t>
            </w:r>
          </w:p>
        </w:tc>
      </w:tr>
      <w:tr>
        <w:trPr>
          <w:cantSplit/>
        </w:trPr>
        <w:tc>
          <w:tcPr>
            <w:tcW w:type="dxa" w:w="165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Apoyo intensivo</w:t>
            </w:r>
          </w:p>
        </w:tc>
        <w:tc>
          <w:tcPr>
            <w:tcW w:type="dxa" w:w="446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Malnutrición aguda, enfermedad grave, depresión o riesgo psicosocial, violencia, inseguridad alimentaria severa o abandono de tratamiento</w:t>
            </w:r>
          </w:p>
        </w:tc>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Gestor de caso, referencia prioritaria, apoyo económico temporal y revisión semanal o quincenal</w:t>
            </w:r>
          </w:p>
        </w:tc>
      </w:tr>
    </w:tbl>
    <w:p>
      <w:pPr>
        <w:spacing w:after="40"/>
      </w:pPr>
    </w:p>
    <w:p>
      <w:pPr>
        <w:pStyle w:val="Heading2"/>
      </w:pPr>
      <w:r>
        <w:t>3 3 Identificación de hogares</w:t>
      </w:r>
    </w:p>
    <w:p>
      <w:pPr>
        <w:pStyle w:val="ListBullet"/>
        <w:spacing w:after="40"/>
      </w:pPr>
      <w:r>
        <w:t>Cruzar registro familiar, embarazos conocidos, nacimientos, vacunación, nutrición y listas comunitarias con autorización de las autoridades.</w:t>
      </w:r>
    </w:p>
    <w:p>
      <w:pPr>
        <w:pStyle w:val="ListBullet"/>
        <w:spacing w:after="40"/>
      </w:pPr>
      <w:r>
        <w:t>Realizar búsqueda activa trimestral en zonas remotas y mensual en temporadas de crisis, con especial atención a nacimientos domiciliarios y niños cero dosis.</w:t>
      </w:r>
    </w:p>
    <w:p>
      <w:pPr>
        <w:pStyle w:val="ListBullet"/>
        <w:spacing w:after="40"/>
      </w:pPr>
      <w:r>
        <w:t>Publicar criterios simples para ayudas económicas y revisar exclusiones con un comité que incluya mujeres de la comunidad.</w:t>
      </w:r>
    </w:p>
    <w:p>
      <w:pPr>
        <w:pStyle w:val="ListBullet"/>
        <w:spacing w:after="40"/>
      </w:pPr>
      <w:r>
        <w:t>Permitir autorregistro y derivación por líderes de salud, parteras tradicionales vinculadas, escuelas, organizaciones de mujeres y otros servicios.</w:t>
      </w:r>
    </w:p>
    <w:p>
      <w:pPr>
        <w:pStyle w:val="Heading1"/>
      </w:pPr>
      <w:r>
        <w:t>4 Teoría de cambio</w:t>
      </w:r>
    </w:p>
    <w:p>
      <w:r>
        <w:t>Si las redes de Meki y Gambo identifican tempranamente a cada gestante y cada niño; ofrecen un paquete de atención de calidad con suministros disponibles; completan referencias; ayudan a las familias a practicar lactancia, alimentación, higiene y cuidado responsivo; y protegen a los hogares de mayor riesgo frente a choques económicos y climáticos, entonces disminuirán las complicaciones, las infecciones y la malnutrición, y mejorarán la supervivencia y el desarrollo. Esto requiere liderazgo público, personal competente, datos utilizables, transporte, participación comunitaria y financiación previsible.</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2016"/>
        <w:gridCol w:w="2016"/>
        <w:gridCol w:w="2016"/>
        <w:gridCol w:w="2016"/>
        <w:gridCol w:w="2016"/>
      </w:tblGrid>
      <w:tr>
        <w:trPr>
          <w:tblHeader w:val="true"/>
        </w:trPr>
        <w:tc>
          <w:tcPr>
            <w:tcW w:type="dxa" w:w="1800"/>
            <w:vAlign w:val="center"/>
            <w:tcMar>
              <w:top w:w="100" w:type="dxa"/>
              <w:start w:w="110" w:type="dxa"/>
              <w:bottom w:w="100" w:type="dxa"/>
              <w:end w:w="110" w:type="dxa"/>
            </w:tcMar>
            <w:shd w:fill="2F6B5F"/>
          </w:tcPr>
          <w:p>
            <w:pPr>
              <w:spacing w:after="0" w:line="252" w:lineRule="auto"/>
              <w:jc w:val="center"/>
            </w:pPr>
            <w:r/>
            <w:r>
              <w:rPr>
                <w:rFonts w:ascii="Liberation Sans" w:hAnsi="Liberation Sans"/>
                <w:b/>
                <w:color w:val="FFFFFF"/>
                <w:sz w:val="17"/>
              </w:rPr>
              <w:t>Recursos</w:t>
            </w:r>
          </w:p>
        </w:tc>
        <w:tc>
          <w:tcPr>
            <w:tcW w:type="dxa" w:w="2160"/>
            <w:vAlign w:val="center"/>
            <w:tcMar>
              <w:top w:w="100" w:type="dxa"/>
              <w:start w:w="110" w:type="dxa"/>
              <w:bottom w:w="100" w:type="dxa"/>
              <w:end w:w="110" w:type="dxa"/>
            </w:tcMar>
            <w:shd w:fill="2F6B5F"/>
          </w:tcPr>
          <w:p>
            <w:pPr>
              <w:spacing w:after="0" w:line="252" w:lineRule="auto"/>
              <w:jc w:val="center"/>
            </w:pPr>
            <w:r/>
            <w:r>
              <w:rPr>
                <w:rFonts w:ascii="Liberation Sans" w:hAnsi="Liberation Sans"/>
                <w:b/>
                <w:color w:val="FFFFFF"/>
                <w:sz w:val="17"/>
              </w:rPr>
              <w:t>Actividades</w:t>
            </w:r>
          </w:p>
        </w:tc>
        <w:tc>
          <w:tcPr>
            <w:tcW w:type="dxa" w:w="2088"/>
            <w:vAlign w:val="center"/>
            <w:tcMar>
              <w:top w:w="100" w:type="dxa"/>
              <w:start w:w="110" w:type="dxa"/>
              <w:bottom w:w="100" w:type="dxa"/>
              <w:end w:w="110" w:type="dxa"/>
            </w:tcMar>
            <w:shd w:fill="2F6B5F"/>
          </w:tcPr>
          <w:p>
            <w:pPr>
              <w:spacing w:after="0" w:line="252" w:lineRule="auto"/>
              <w:jc w:val="center"/>
            </w:pPr>
            <w:r/>
            <w:r>
              <w:rPr>
                <w:rFonts w:ascii="Liberation Sans" w:hAnsi="Liberation Sans"/>
                <w:b/>
                <w:color w:val="FFFFFF"/>
                <w:sz w:val="17"/>
              </w:rPr>
              <w:t>Productos</w:t>
            </w:r>
          </w:p>
        </w:tc>
        <w:tc>
          <w:tcPr>
            <w:tcW w:type="dxa" w:w="2088"/>
            <w:vAlign w:val="center"/>
            <w:tcMar>
              <w:top w:w="100" w:type="dxa"/>
              <w:start w:w="110" w:type="dxa"/>
              <w:bottom w:w="100" w:type="dxa"/>
              <w:end w:w="110" w:type="dxa"/>
            </w:tcMar>
            <w:shd w:fill="2F6B5F"/>
          </w:tcPr>
          <w:p>
            <w:pPr>
              <w:spacing w:after="0" w:line="252" w:lineRule="auto"/>
              <w:jc w:val="center"/>
            </w:pPr>
            <w:r/>
            <w:r>
              <w:rPr>
                <w:rFonts w:ascii="Liberation Sans" w:hAnsi="Liberation Sans"/>
                <w:b/>
                <w:color w:val="FFFFFF"/>
                <w:sz w:val="17"/>
              </w:rPr>
              <w:t>Resultados</w:t>
            </w:r>
          </w:p>
        </w:tc>
        <w:tc>
          <w:tcPr>
            <w:tcW w:type="dxa" w:w="1800"/>
            <w:vAlign w:val="center"/>
            <w:tcMar>
              <w:top w:w="100" w:type="dxa"/>
              <w:start w:w="110" w:type="dxa"/>
              <w:bottom w:w="100" w:type="dxa"/>
              <w:end w:w="110" w:type="dxa"/>
            </w:tcMar>
            <w:shd w:fill="2F6B5F"/>
          </w:tcPr>
          <w:p>
            <w:pPr>
              <w:spacing w:after="0" w:line="252" w:lineRule="auto"/>
              <w:jc w:val="center"/>
            </w:pPr>
            <w:r/>
            <w:r>
              <w:rPr>
                <w:rFonts w:ascii="Liberation Sans" w:hAnsi="Liberation Sans"/>
                <w:b/>
                <w:color w:val="FFFFFF"/>
                <w:sz w:val="17"/>
              </w:rPr>
              <w:t>Impacto</w:t>
            </w:r>
          </w:p>
        </w:tc>
      </w:tr>
      <w:tr>
        <w:trPr>
          <w:cantSplit/>
        </w:trPr>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HEW, matronas, personal clínico, líderes, suministros, transporte y datos</w:t>
            </w:r>
          </w:p>
        </w:tc>
        <w:tc>
          <w:tcPr>
            <w:tcW w:type="dxa" w:w="216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Registro, contactos, mentoría, nutrición, WASH, apoyo familiar y referencias</w:t>
            </w:r>
          </w:p>
        </w:tc>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Díadas cubiertas, personal competente, insumos disponibles y referencias completadas</w:t>
            </w:r>
          </w:p>
        </w:tc>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Más atención oportuna, mejores prácticas, menor enfermedad y mejor dieta</w:t>
            </w:r>
          </w:p>
        </w:tc>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Menos muerte neonatal, malnutrición y retraso del desarrollo</w:t>
            </w:r>
          </w:p>
        </w:tc>
      </w:tr>
    </w:tbl>
    <w:p>
      <w:pPr>
        <w:spacing w:after="40"/>
      </w:pPr>
    </w:p>
    <w:p>
      <w:pPr>
        <w:pStyle w:val="Heading2"/>
      </w:pPr>
      <w:r>
        <w:t>4 1 Hipótesis críticas</w:t>
      </w:r>
    </w:p>
    <w:p>
      <w:pPr>
        <w:pStyle w:val="ListBullet"/>
        <w:spacing w:after="40"/>
      </w:pPr>
      <w:r>
        <w:t>Los establecimientos públicos mantienen una plantilla mínima y autorizan supervisión conjunta.</w:t>
      </w:r>
    </w:p>
    <w:p>
      <w:pPr>
        <w:pStyle w:val="ListBullet"/>
        <w:spacing w:after="40"/>
      </w:pPr>
      <w:r>
        <w:t>Los productos esenciales pueden comprarse por canales aprobados y reponerse antes de agotarse.</w:t>
      </w:r>
    </w:p>
    <w:p>
      <w:pPr>
        <w:pStyle w:val="ListBullet"/>
        <w:spacing w:after="40"/>
      </w:pPr>
      <w:r>
        <w:t>Las familias perciben respeto, utilidad y seguridad, y aceptan el seguimiento nominal.</w:t>
      </w:r>
    </w:p>
    <w:p>
      <w:pPr>
        <w:pStyle w:val="ListBullet"/>
        <w:spacing w:after="40"/>
      </w:pPr>
      <w:r>
        <w:t>Los centros de referencia pueden recibir casos derivados o activar una alternativa acordada.</w:t>
      </w:r>
    </w:p>
    <w:p>
      <w:pPr>
        <w:pStyle w:val="ListBullet"/>
        <w:spacing w:after="40"/>
      </w:pPr>
      <w:r>
        <w:t>Las ayudas económicas y alimentarias complementan, sin desplazar, los sistemas públicos y comunitarios.</w:t>
      </w:r>
    </w:p>
    <w:p>
      <w:pPr>
        <w:pStyle w:val="ListBullet"/>
        <w:spacing w:after="40"/>
      </w:pPr>
      <w:r>
        <w:t>La situación de seguridad permite acceso suficiente; cuando no sea así, existen modalidades remotas y reservas.</w:t>
      </w:r>
    </w:p>
    <w:p>
      <w:pPr>
        <w:pStyle w:val="Heading1"/>
      </w:pPr>
      <w:r>
        <w:t>5 Resultados y marco lógico</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2016"/>
        <w:gridCol w:w="2016"/>
        <w:gridCol w:w="2016"/>
        <w:gridCol w:w="2016"/>
        <w:gridCol w:w="2016"/>
      </w:tblGrid>
      <w:tr>
        <w:trPr>
          <w:tblHeader w:val="true"/>
        </w:trPr>
        <w:tc>
          <w:tcPr>
            <w:tcW w:type="dxa" w:w="122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Nivel</w:t>
            </w:r>
          </w:p>
        </w:tc>
        <w:tc>
          <w:tcPr>
            <w:tcW w:type="dxa" w:w="367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Indicador principal</w:t>
            </w:r>
          </w:p>
        </w:tc>
        <w:tc>
          <w:tcPr>
            <w:tcW w:type="dxa" w:w="115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Base</w:t>
            </w:r>
          </w:p>
        </w:tc>
        <w:tc>
          <w:tcPr>
            <w:tcW w:type="dxa" w:w="223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Meta 2031</w:t>
            </w:r>
          </w:p>
        </w:tc>
        <w:tc>
          <w:tcPr>
            <w:tcW w:type="dxa" w:w="208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Fuente</w:t>
            </w:r>
          </w:p>
        </w:tc>
      </w:tr>
      <w:tr>
        <w:trPr>
          <w:cantSplit/>
        </w:trPr>
        <w:tc>
          <w:tcPr>
            <w:tcW w:type="dxa" w:w="12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Impacto</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Mortalidad neonatal por mil nacidos vivos</w:t>
            </w:r>
          </w:p>
        </w:tc>
        <w:tc>
          <w:tcPr>
            <w:tcW w:type="dxa" w:w="1152"/>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Reducción relativa mayor o igual a 20 por ciento</w:t>
            </w:r>
          </w:p>
        </w:tc>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Registro de nacimientos, revisión de muertes y encuesta</w:t>
            </w:r>
          </w:p>
        </w:tc>
      </w:tr>
      <w:tr>
        <w:trPr>
          <w:cantSplit/>
        </w:trPr>
        <w:tc>
          <w:tcPr>
            <w:tcW w:type="dxa" w:w="12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Impacto</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Retraso del crecimiento entre 6 y 23 meses</w:t>
            </w:r>
          </w:p>
        </w:tc>
        <w:tc>
          <w:tcPr>
            <w:tcW w:type="dxa" w:w="1152"/>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Reducción relativa mayor o igual a 20 por ciento</w:t>
            </w:r>
          </w:p>
        </w:tc>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Antropometría poblacional</w:t>
            </w:r>
          </w:p>
        </w:tc>
      </w:tr>
      <w:tr>
        <w:trPr>
          <w:cantSplit/>
        </w:trPr>
        <w:tc>
          <w:tcPr>
            <w:tcW w:type="dxa" w:w="12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Resultado 1</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Gestantes con primer contacto antes de 12 semanas</w:t>
            </w:r>
          </w:p>
        </w:tc>
        <w:tc>
          <w:tcPr>
            <w:tcW w:type="dxa" w:w="1152"/>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Aumento de 25 puntos porcentuales</w:t>
            </w:r>
          </w:p>
        </w:tc>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Registro nominal y HMIS</w:t>
            </w:r>
          </w:p>
        </w:tc>
      </w:tr>
      <w:tr>
        <w:trPr>
          <w:cantSplit/>
        </w:trPr>
        <w:tc>
          <w:tcPr>
            <w:tcW w:type="dxa" w:w="12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Resultado 1</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Gestantes con al menos 8 contactos de calidad</w:t>
            </w:r>
          </w:p>
        </w:tc>
        <w:tc>
          <w:tcPr>
            <w:tcW w:type="dxa" w:w="1152"/>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Aumento de 20 puntos porcentuales</w:t>
            </w:r>
          </w:p>
        </w:tc>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Registro y auditoría de contenido</w:t>
            </w:r>
          </w:p>
        </w:tc>
      </w:tr>
      <w:tr>
        <w:trPr>
          <w:cantSplit/>
        </w:trPr>
        <w:tc>
          <w:tcPr>
            <w:tcW w:type="dxa" w:w="12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Resultado 1</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Madres y recién nacidos con control en 48 horas</w:t>
            </w:r>
          </w:p>
        </w:tc>
        <w:tc>
          <w:tcPr>
            <w:tcW w:type="dxa" w:w="1152"/>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Al menos 80 por ciento</w:t>
            </w:r>
          </w:p>
        </w:tc>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Registro posnatal y encuesta</w:t>
            </w:r>
          </w:p>
        </w:tc>
      </w:tr>
      <w:tr>
        <w:trPr>
          <w:cantSplit/>
        </w:trPr>
        <w:tc>
          <w:tcPr>
            <w:tcW w:type="dxa" w:w="12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Resultado 2</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Inicio de lactancia en la primera hora</w:t>
            </w:r>
          </w:p>
        </w:tc>
        <w:tc>
          <w:tcPr>
            <w:tcW w:type="dxa" w:w="1152"/>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Al menos 85 por ciento</w:t>
            </w:r>
          </w:p>
        </w:tc>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Registro de parto y encuesta</w:t>
            </w:r>
          </w:p>
        </w:tc>
      </w:tr>
      <w:tr>
        <w:trPr>
          <w:cantSplit/>
        </w:trPr>
        <w:tc>
          <w:tcPr>
            <w:tcW w:type="dxa" w:w="12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Resultado 2</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Lactancia exclusiva entre 0 y 5 meses</w:t>
            </w:r>
          </w:p>
        </w:tc>
        <w:tc>
          <w:tcPr>
            <w:tcW w:type="dxa" w:w="1152"/>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Al menos 75 por ciento</w:t>
            </w:r>
          </w:p>
        </w:tc>
        <w:tc>
          <w:tcPr>
            <w:tcW w:type="dxa" w:w="208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Encuesta OMS</w:t>
            </w:r>
          </w:p>
        </w:tc>
      </w:tr>
      <w:tr>
        <w:trPr>
          <w:cantSplit/>
        </w:trPr>
        <w:tc>
          <w:tcPr>
            <w:tcW w:type="dxa" w:w="12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Resultado 2</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Dieta mínima diversa entre 6 y 23 meses</w:t>
            </w:r>
          </w:p>
        </w:tc>
        <w:tc>
          <w:tcPr>
            <w:tcW w:type="dxa" w:w="1152"/>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Aumento de 25 puntos porcentuales</w:t>
            </w:r>
          </w:p>
        </w:tc>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Encuesta OMS UNICEF</w:t>
            </w:r>
          </w:p>
        </w:tc>
      </w:tr>
      <w:tr>
        <w:trPr>
          <w:cantSplit/>
        </w:trPr>
        <w:tc>
          <w:tcPr>
            <w:tcW w:type="dxa" w:w="12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Resultado 3</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Niños cero dosis en la cohorte elegible</w:t>
            </w:r>
          </w:p>
        </w:tc>
        <w:tc>
          <w:tcPr>
            <w:tcW w:type="dxa" w:w="1152"/>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Reducción relativa mayor o igual a 50 por ciento</w:t>
            </w:r>
          </w:p>
        </w:tc>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Registro y encuesta</w:t>
            </w:r>
          </w:p>
        </w:tc>
      </w:tr>
      <w:tr>
        <w:trPr>
          <w:cantSplit/>
        </w:trPr>
        <w:tc>
          <w:tcPr>
            <w:tcW w:type="dxa" w:w="12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Resultado 3</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Referencias urgentes completadas dentro del plazo clínico</w:t>
            </w:r>
          </w:p>
        </w:tc>
        <w:tc>
          <w:tcPr>
            <w:tcW w:type="dxa" w:w="1152"/>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Al menos 90 por ciento</w:t>
            </w:r>
          </w:p>
        </w:tc>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Registro de referencia y llamada de verificación</w:t>
            </w:r>
          </w:p>
        </w:tc>
      </w:tr>
      <w:tr>
        <w:trPr>
          <w:cantSplit/>
        </w:trPr>
        <w:tc>
          <w:tcPr>
            <w:tcW w:type="dxa" w:w="12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Resultado 4</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Cuidadores que practican juego y comunicación responsiva</w:t>
            </w:r>
          </w:p>
        </w:tc>
        <w:tc>
          <w:tcPr>
            <w:tcW w:type="dxa" w:w="1152"/>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Al menos 70 por ciento</w:t>
            </w:r>
          </w:p>
        </w:tc>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Módulo de encuesta y observación</w:t>
            </w:r>
          </w:p>
        </w:tc>
      </w:tr>
      <w:tr>
        <w:trPr>
          <w:cantSplit/>
        </w:trPr>
        <w:tc>
          <w:tcPr>
            <w:tcW w:type="dxa" w:w="12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Sistema</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Establecimientos sin ruptura de más de 7 días de productos trazadores</w:t>
            </w:r>
          </w:p>
        </w:tc>
        <w:tc>
          <w:tcPr>
            <w:tcW w:type="dxa" w:w="1152"/>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Por medir</w:t>
            </w:r>
          </w:p>
        </w:tc>
        <w:tc>
          <w:tcPr>
            <w:tcW w:type="dxa" w:w="22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Al menos 90 por ciento</w:t>
            </w:r>
          </w:p>
        </w:tc>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LMIS y verificación física</w:t>
            </w:r>
          </w:p>
        </w:tc>
      </w:tr>
    </w:tbl>
    <w:p>
      <w:pPr>
        <w:spacing w:after="40"/>
      </w:pPr>
    </w:p>
    <w:p>
      <w:pPr>
        <w:pStyle w:val="Heading2"/>
      </w:pPr>
      <w:r>
        <w:t>5 1 Reglas para confirmar metas</w:t>
      </w:r>
    </w:p>
    <w:p>
      <w:r>
        <w:t>La línea de base se realizará antes de fijar metas absolutas. Si un indicador ya supera la meta de diseño, se fijará una mejora menor pero relevante o una meta de equidad. Si la medición de mortalidad carece de potencia estadística, se reportará la tendencia con intervalos de confianza y se priorizarán revisiones de muertes, resultados perinatales y cobertura efectiva. Ninguna meta justificará clasificación clínica incorrecta, presión sobre familias o manipulación de registros.</w:t>
      </w:r>
    </w:p>
    <w:p>
      <w:pPr>
        <w:pStyle w:val="Heading1"/>
      </w:pPr>
      <w:r>
        <w:t>6 Modelo de intervención</w:t>
      </w:r>
    </w:p>
    <w:p>
      <w:pPr>
        <w:pStyle w:val="Heading2"/>
      </w:pPr>
      <w:r>
        <w:t>6 1 Embarazo y preparación para el parto</w:t>
      </w:r>
    </w:p>
    <w:p>
      <w:pPr>
        <w:pStyle w:val="ListBullet"/>
        <w:spacing w:after="40"/>
      </w:pPr>
      <w:r>
        <w:t>Identificación del embarazo antes de 12 semanas mediante registro comunitario, autorreferencia y pruebas conforme a protocolo.</w:t>
      </w:r>
    </w:p>
    <w:p>
      <w:pPr>
        <w:pStyle w:val="ListBullet"/>
        <w:spacing w:after="40"/>
      </w:pPr>
      <w:r>
        <w:t>Itinerario de ocho contactos prenatales adaptado a la norma etíope, con evaluación de presión arterial, anemia, infecciones, estado nutricional, vacunación y signos de alarma. La OMS recomienda un mínimo de ocho contactos y el primero antes de 12 semanas. [11]</w:t>
      </w:r>
    </w:p>
    <w:p>
      <w:pPr>
        <w:pStyle w:val="ListBullet"/>
        <w:spacing w:after="40"/>
      </w:pPr>
      <w:r>
        <w:t>Hierro y ácido fólico o suplemento múltiple cuando esté aprobado, con control de adherencia y efectos adversos; no se distribuirán suplementos sin previsión de reposición.</w:t>
      </w:r>
    </w:p>
    <w:p>
      <w:pPr>
        <w:pStyle w:val="ListBullet"/>
        <w:spacing w:after="40"/>
      </w:pPr>
      <w:r>
        <w:t>Consejería individual sobre dieta asequible, carga física, exposición a humo, lactancia, salud mental, violencia y preparación para el parto.</w:t>
      </w:r>
    </w:p>
    <w:p>
      <w:pPr>
        <w:pStyle w:val="ListBullet"/>
        <w:spacing w:after="40"/>
      </w:pPr>
      <w:r>
        <w:t>Plan de nacimiento y emergencia que identifique lugar, acompañante, transporte, teléfono, ahorro o vale, donante de sangre cuando proceda y establecimiento alternativo.</w:t>
      </w:r>
    </w:p>
    <w:p>
      <w:pPr>
        <w:pStyle w:val="ListBullet"/>
        <w:spacing w:after="40"/>
      </w:pPr>
      <w:r>
        <w:t>Seguimiento reforzado de adolescentes, embarazos múltiples, anemia, hipertensión, bajo peso, discapacidad, antecedentes obstétricos y gran distancia.</w:t>
      </w:r>
    </w:p>
    <w:p>
      <w:pPr>
        <w:pStyle w:val="Heading2"/>
      </w:pPr>
      <w:r>
        <w:t>6 2 Parto seguro y atención neonatal</w:t>
      </w:r>
    </w:p>
    <w:p>
      <w:pPr>
        <w:pStyle w:val="ListBullet"/>
        <w:spacing w:after="40"/>
      </w:pPr>
      <w:r>
        <w:t>Asegurar que los centros seleccionados cumplen capacidades obstétricas y neonatales básicas; mapear disponibilidad 24 horas y escalamiento a atención integral.</w:t>
      </w:r>
    </w:p>
    <w:p>
      <w:pPr>
        <w:pStyle w:val="ListBullet"/>
        <w:spacing w:after="40"/>
      </w:pPr>
      <w:r>
        <w:t>Simulaciones trimestrales de hemorragia, eclampsia, sepsis, reanimación neonatal, prematuridad y traslado, con acciones correctivas verificadas.</w:t>
      </w:r>
    </w:p>
    <w:p>
      <w:pPr>
        <w:pStyle w:val="ListBullet"/>
        <w:spacing w:after="40"/>
      </w:pPr>
      <w:r>
        <w:t>Contacto piel con piel, apoyo inmediato a la lactancia, cuidado térmico, higiene del cordón y documentación de peso y edad gestacional conforme a protocolo.</w:t>
      </w:r>
    </w:p>
    <w:p>
      <w:pPr>
        <w:pStyle w:val="ListBullet"/>
        <w:spacing w:after="40"/>
      </w:pPr>
      <w:r>
        <w:t>Visita o contacto posnatal dentro de 48 horas, con prioridad presencial para nacimientos domiciliarios, bajo peso, prematuros y altas tempranas.</w:t>
      </w:r>
    </w:p>
    <w:p>
      <w:pPr>
        <w:pStyle w:val="ListBullet"/>
        <w:spacing w:after="40"/>
      </w:pPr>
      <w:r>
        <w:t>Método madre canguro y seguimiento de recién nacidos pequeños o prematuros según elegibilidad y capacidad clínica.</w:t>
      </w:r>
    </w:p>
    <w:p>
      <w:pPr>
        <w:pStyle w:val="ListBullet"/>
        <w:spacing w:after="40"/>
      </w:pPr>
      <w:r>
        <w:t>Revisión confidencial de cada muerte materna, perinatal y neonatal, sin culpabilizar al personal ni a la familia.</w:t>
      </w:r>
    </w:p>
    <w:p>
      <w:pPr>
        <w:pStyle w:val="Heading2"/>
      </w:pPr>
      <w:r>
        <w:t>6 3 Lactancia y alimentación de 6 a 23 meses</w:t>
      </w:r>
    </w:p>
    <w:p>
      <w:r>
        <w:t>La OMS recomienda lactancia exclusiva durante seis meses, incorporación de alimentos complementarios seguros y adecuados a partir de los seis meses y continuación de la lactancia hasta los dos años o más. [12] [13]</w:t>
      </w:r>
    </w:p>
    <w:p>
      <w:pPr>
        <w:pStyle w:val="ListBullet"/>
        <w:spacing w:after="40"/>
      </w:pPr>
      <w:r>
        <w:t>Consejería práctica durante embarazo, posparto, vacunación, crecimiento y enfermedad, incluida observación de una toma cuando la madre lo acepte.</w:t>
      </w:r>
    </w:p>
    <w:p>
      <w:pPr>
        <w:pStyle w:val="ListBullet"/>
        <w:spacing w:after="40"/>
      </w:pPr>
      <w:r>
        <w:t>Apoyo específico para dolor, agarre, percepción de leche insuficiente, vuelta al trabajo, gemelos, enfermedad materna y recién nacidos pequeños.</w:t>
      </w:r>
    </w:p>
    <w:p>
      <w:pPr>
        <w:pStyle w:val="ListBullet"/>
        <w:spacing w:after="40"/>
      </w:pPr>
      <w:r>
        <w:t>Grupos de apoyo dirigidos por madres formadas y supervisadas, sin promoción comercial de sucedáneos.</w:t>
      </w:r>
    </w:p>
    <w:p>
      <w:pPr>
        <w:pStyle w:val="ListBullet"/>
        <w:spacing w:after="40"/>
      </w:pPr>
      <w:r>
        <w:t>Demostraciones de recetas estacionales con cálculo de coste, textura, frecuencia, higiene, densidad energética y diversidad.</w:t>
      </w:r>
    </w:p>
    <w:p>
      <w:pPr>
        <w:pStyle w:val="ListBullet"/>
        <w:spacing w:after="40"/>
      </w:pPr>
      <w:r>
        <w:t>Consejería de alimentación responsiva: reconocer señales de hambre y saciedad, acompañar sin forzar y adaptar consistencia y utensilios a discapacidad.</w:t>
      </w:r>
    </w:p>
    <w:p>
      <w:pPr>
        <w:pStyle w:val="ListBullet"/>
        <w:spacing w:after="40"/>
      </w:pPr>
      <w:r>
        <w:t>Visita de recuperación para niños cuya dieta, crecimiento o apetito se deterioren, con evaluación clínica cuando corresponda.</w:t>
      </w:r>
    </w:p>
    <w:p>
      <w:pPr>
        <w:pStyle w:val="Heading2"/>
      </w:pPr>
      <w:r>
        <w:t>6 4 Prevención y tratamiento de la malnutrición</w:t>
      </w:r>
    </w:p>
    <w:p>
      <w:pPr>
        <w:pStyle w:val="ListBullet"/>
        <w:spacing w:after="40"/>
      </w:pPr>
      <w:r>
        <w:t>Cribado mensual en menores de dos años y gestantes de riesgo, más búsqueda activa durante temporada de escasez, brotes o desplazamiento.</w:t>
      </w:r>
    </w:p>
    <w:p>
      <w:pPr>
        <w:pStyle w:val="ListBullet"/>
        <w:spacing w:after="40"/>
      </w:pPr>
      <w:r>
        <w:t>Clasificación con perímetro braquial, peso, longitud o talla, edema, apetito y signos clínicos según protocolos nacionales vigentes.</w:t>
      </w:r>
    </w:p>
    <w:p>
      <w:pPr>
        <w:pStyle w:val="ListBullet"/>
        <w:spacing w:after="40"/>
      </w:pPr>
      <w:r>
        <w:t>Tratamiento ambulatorio de malnutrición aguda sin complicaciones, estabilización hospitalaria cuando exista criterio y contrarreferencia documentada.</w:t>
      </w:r>
    </w:p>
    <w:p>
      <w:pPr>
        <w:pStyle w:val="ListBullet"/>
        <w:spacing w:after="40"/>
      </w:pPr>
      <w:r>
        <w:t>Seguimiento de ausencias en 48 horas para casos de alto riesgo y en una semana para otros abandonos.</w:t>
      </w:r>
    </w:p>
    <w:p>
      <w:pPr>
        <w:pStyle w:val="ListBullet"/>
        <w:spacing w:after="40"/>
      </w:pPr>
      <w:r>
        <w:t>Control de existencias de alimento terapéutico, medicamentos y material antropométrico, con redistribución antes de ruptura.</w:t>
      </w:r>
    </w:p>
    <w:p>
      <w:pPr>
        <w:pStyle w:val="ListBullet"/>
        <w:spacing w:after="40"/>
      </w:pPr>
      <w:r>
        <w:t>Análisis mensual de curación, mortalidad, abandono, duración y recaída, desagregado por establecimiento, sexo, edad, discapacidad y distancia.</w:t>
      </w:r>
    </w:p>
    <w:p>
      <w:pPr>
        <w:pStyle w:val="Heading2"/>
      </w:pPr>
      <w:r>
        <w:t>6 5 Inmunización y enfermedades infantiles</w:t>
      </w:r>
    </w:p>
    <w:p>
      <w:pPr>
        <w:pStyle w:val="ListBullet"/>
        <w:spacing w:after="40"/>
      </w:pPr>
      <w:r>
        <w:t>Conciliar nacimientos, registro familiar y vacunación para identificar niños cero dosis y esquemas incompletos.</w:t>
      </w:r>
    </w:p>
    <w:p>
      <w:pPr>
        <w:pStyle w:val="ListBullet"/>
        <w:spacing w:after="40"/>
      </w:pPr>
      <w:r>
        <w:t>Integrar vacunación con crecimiento, nutrición, vitamina A, desparasitación cuando corresponda y consejería de desarrollo.</w:t>
      </w:r>
    </w:p>
    <w:p>
      <w:pPr>
        <w:pStyle w:val="ListBullet"/>
        <w:spacing w:after="40"/>
      </w:pPr>
      <w:r>
        <w:t>Fortalecer cadena de frío, registro de temperatura, manejo de viales y planes de contingencia eléctrica.</w:t>
      </w:r>
    </w:p>
    <w:p>
      <w:pPr>
        <w:pStyle w:val="ListBullet"/>
        <w:spacing w:after="40"/>
      </w:pPr>
      <w:r>
        <w:t>Aplicar el manejo integrado de enfermedades neonatales e infantiles y criterios claros de referencia para neumonía, diarrea, fiebre, sepsis y deshidratación.</w:t>
      </w:r>
    </w:p>
    <w:p>
      <w:pPr>
        <w:pStyle w:val="ListBullet"/>
        <w:spacing w:after="40"/>
      </w:pPr>
      <w:r>
        <w:t>Entregar instrucciones de signos de alarma comprensibles y comprobar que el cuidador puede repetirlas.</w:t>
      </w:r>
    </w:p>
    <w:p>
      <w:pPr>
        <w:pStyle w:val="Heading2"/>
      </w:pPr>
      <w:r>
        <w:t>6 6 Cuidado responsivo y salud mental</w:t>
      </w:r>
    </w:p>
    <w:p>
      <w:pPr>
        <w:pStyle w:val="ListBullet"/>
        <w:spacing w:after="40"/>
      </w:pPr>
      <w:r>
        <w:t>Integrar en cada contacto dos o tres prácticas de juego, lenguaje y respuesta apropiadas a la edad usando objetos cotidianos.</w:t>
      </w:r>
    </w:p>
    <w:p>
      <w:pPr>
        <w:pStyle w:val="ListBullet"/>
        <w:spacing w:after="40"/>
      </w:pPr>
      <w:r>
        <w:t>Observar la interacción cuidador niño con consentimiento y reforzar conductas positivas sin culpabilizar.</w:t>
      </w:r>
    </w:p>
    <w:p>
      <w:pPr>
        <w:pStyle w:val="ListBullet"/>
        <w:spacing w:after="40"/>
      </w:pPr>
      <w:r>
        <w:t>Cribar malestar emocional o depresión materna con una herramienta validada localmente y una ruta real de apoyo y referencia.</w:t>
      </w:r>
    </w:p>
    <w:p>
      <w:pPr>
        <w:pStyle w:val="ListBullet"/>
        <w:spacing w:after="40"/>
      </w:pPr>
      <w:r>
        <w:t>Crear grupos para padres, abuelas y otros cuidadores que reduzcan la carga exclusiva sobre la madre y protejan tiempo para alimentación y descanso.</w:t>
      </w:r>
    </w:p>
    <w:p>
      <w:pPr>
        <w:pStyle w:val="ListBullet"/>
        <w:spacing w:after="40"/>
      </w:pPr>
      <w:r>
        <w:t>Detectar señales de discapacidad o retraso, ofrecer apoyo temprano y referir sin prometer diagnósticos que no puedan confirmarse.</w:t>
      </w:r>
    </w:p>
    <w:p>
      <w:pPr>
        <w:pStyle w:val="ListBullet"/>
        <w:spacing w:after="40"/>
      </w:pPr>
      <w:r>
        <w:t>El marco Nurturing Care de OMS y UNICEF integra salud, nutrición, seguridad, cuidado responsivo y aprendizaje temprano. [14]</w:t>
      </w:r>
    </w:p>
    <w:p>
      <w:pPr>
        <w:pStyle w:val="Heading2"/>
      </w:pPr>
      <w:r>
        <w:t>6 7 Agua saneamiento e higiene</w:t>
      </w:r>
    </w:p>
    <w:p>
      <w:pPr>
        <w:pStyle w:val="ListBullet"/>
        <w:spacing w:after="40"/>
      </w:pPr>
      <w:r>
        <w:t>Auditar agua, baños, lavado de manos, residuos y limpieza en cada establecimiento antes de ampliar servicios.</w:t>
      </w:r>
    </w:p>
    <w:p>
      <w:pPr>
        <w:pStyle w:val="ListBullet"/>
        <w:spacing w:after="40"/>
      </w:pPr>
      <w:r>
        <w:t>Financiar reparaciones pequeñas y sostenibles con responsable, repuestos y presupuesto de operación; no construir infraestructura sin plan de mantenimiento.</w:t>
      </w:r>
    </w:p>
    <w:p>
      <w:pPr>
        <w:pStyle w:val="ListBullet"/>
        <w:spacing w:after="40"/>
      </w:pPr>
      <w:r>
        <w:t>Promover lavado de manos con jabón en momentos críticos, tratamiento y almacenamiento seguro de agua, higiene alimentaria y disposición segura de heces infantiles.</w:t>
      </w:r>
    </w:p>
    <w:p>
      <w:pPr>
        <w:pStyle w:val="ListBullet"/>
        <w:spacing w:after="40"/>
      </w:pPr>
      <w:r>
        <w:t>Vincular casos repetidos de diarrea o malnutrición con una evaluación del hogar y soluciones factibles.</w:t>
      </w:r>
    </w:p>
    <w:p>
      <w:pPr>
        <w:pStyle w:val="ListBullet"/>
        <w:spacing w:after="40"/>
      </w:pPr>
      <w:r>
        <w:t>Coordinar con las oficinas de agua para priorizar comunidades donde la falta de agua impide atención clínica o higiene doméstica.</w:t>
      </w:r>
    </w:p>
    <w:p>
      <w:pPr>
        <w:pStyle w:val="Heading2"/>
      </w:pPr>
      <w:r>
        <w:t>6 8 Dietas y protección económica</w:t>
      </w:r>
    </w:p>
    <w:p>
      <w:pPr>
        <w:pStyle w:val="ListBullet"/>
        <w:spacing w:after="40"/>
      </w:pPr>
      <w:r>
        <w:t>Mapear mensualmente precio y disponibilidad de alimentos nutritivos clave y adaptar la consejería a la temporada.</w:t>
      </w:r>
    </w:p>
    <w:p>
      <w:pPr>
        <w:pStyle w:val="ListBullet"/>
        <w:spacing w:after="40"/>
      </w:pPr>
      <w:r>
        <w:t>Trabajar con agentes agrícolas y grupos de mujeres en huertos, legumbres, huevos, hortalizas y conservación, solo donde agua y carga de trabajo lo permitan.</w:t>
      </w:r>
    </w:p>
    <w:p>
      <w:pPr>
        <w:pStyle w:val="ListBullet"/>
        <w:spacing w:after="40"/>
      </w:pPr>
      <w:r>
        <w:t>Ofrecer transferencias temporales o vales a hogares de alto riesgo mediante criterios públicos, mecanismo de reclamación y controles antifraude.</w:t>
      </w:r>
    </w:p>
    <w:p>
      <w:pPr>
        <w:pStyle w:val="ListBullet"/>
        <w:spacing w:after="40"/>
      </w:pPr>
      <w:r>
        <w:t>Vincular a protección social existente antes de crear una prestación paralela.</w:t>
      </w:r>
    </w:p>
    <w:p>
      <w:pPr>
        <w:pStyle w:val="ListBullet"/>
        <w:spacing w:after="40"/>
      </w:pPr>
      <w:r>
        <w:t>No condicionar el acceso clínico a asistir a formaciones, producir alimentos o cumplir conductas.</w:t>
      </w:r>
    </w:p>
    <w:p>
      <w:pPr>
        <w:pStyle w:val="Heading1"/>
      </w:pPr>
      <w:r>
        <w:t>7 Modelo operativo</w:t>
      </w:r>
    </w:p>
    <w:p>
      <w:pPr>
        <w:pStyle w:val="Heading2"/>
      </w:pPr>
      <w:r>
        <w:t>7 1 Trayectoria de la díada madre niño</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2520"/>
        <w:gridCol w:w="2520"/>
        <w:gridCol w:w="2520"/>
        <w:gridCol w:w="2520"/>
      </w:tblGrid>
      <w:tr>
        <w:trPr>
          <w:tblHeader w:val="true"/>
        </w:trPr>
        <w:tc>
          <w:tcPr>
            <w:tcW w:type="dxa" w:w="158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Momento</w:t>
            </w:r>
          </w:p>
        </w:tc>
        <w:tc>
          <w:tcPr>
            <w:tcW w:type="dxa" w:w="230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Contacto mínimo</w:t>
            </w:r>
          </w:p>
        </w:tc>
        <w:tc>
          <w:tcPr>
            <w:tcW w:type="dxa" w:w="410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Contenido esencial</w:t>
            </w:r>
          </w:p>
        </w:tc>
        <w:tc>
          <w:tcPr>
            <w:tcW w:type="dxa" w:w="158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Responsable primario</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Antes de 12 semanas</w:t>
            </w:r>
          </w:p>
        </w:tc>
        <w:tc>
          <w:tcPr>
            <w:tcW w:type="dxa" w:w="23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Registro y primer contacto prenatal</w:t>
            </w:r>
          </w:p>
        </w:tc>
        <w:tc>
          <w:tcPr>
            <w:tcW w:type="dxa" w:w="41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Riesgos, análisis, nutrición, salud mental y plan de seguimiento</w:t>
            </w:r>
          </w:p>
        </w:tc>
        <w:tc>
          <w:tcPr>
            <w:tcW w:type="dxa" w:w="1584"/>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HEW y matrona</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20 a 40 semanas</w:t>
            </w:r>
          </w:p>
        </w:tc>
        <w:tc>
          <w:tcPr>
            <w:tcW w:type="dxa" w:w="23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Siete contactos adicionales según calendario</w:t>
            </w:r>
          </w:p>
        </w:tc>
        <w:tc>
          <w:tcPr>
            <w:tcW w:type="dxa" w:w="41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Control clínico, suplementos, vacunación, preparación y referencia</w:t>
            </w:r>
          </w:p>
        </w:tc>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Matrona con apoyo HEW</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Parto</w:t>
            </w:r>
          </w:p>
        </w:tc>
        <w:tc>
          <w:tcPr>
            <w:tcW w:type="dxa" w:w="23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Atención cualificada o referencia</w:t>
            </w:r>
          </w:p>
        </w:tc>
        <w:tc>
          <w:tcPr>
            <w:tcW w:type="dxa" w:w="41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Seguridad materna, reanimación, piel con piel y lactancia</w:t>
            </w:r>
          </w:p>
        </w:tc>
        <w:tc>
          <w:tcPr>
            <w:tcW w:type="dxa" w:w="1584"/>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Equipo obstétrico</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0 a 48 horas</w:t>
            </w:r>
          </w:p>
        </w:tc>
        <w:tc>
          <w:tcPr>
            <w:tcW w:type="dxa" w:w="2304"/>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Control posnatal</w:t>
            </w:r>
          </w:p>
        </w:tc>
        <w:tc>
          <w:tcPr>
            <w:tcW w:type="dxa" w:w="41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Sangrado, infección, alimentación, temperatura y signos de peligro</w:t>
            </w:r>
          </w:p>
        </w:tc>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Matrona o HEW entrenada</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Días 3 a 7</w:t>
            </w:r>
          </w:p>
        </w:tc>
        <w:tc>
          <w:tcPr>
            <w:tcW w:type="dxa" w:w="23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Segundo control según norma y riesgo</w:t>
            </w:r>
          </w:p>
        </w:tc>
        <w:tc>
          <w:tcPr>
            <w:tcW w:type="dxa" w:w="41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Peso, ictericia, lactancia y bienestar materno</w:t>
            </w:r>
          </w:p>
        </w:tc>
        <w:tc>
          <w:tcPr>
            <w:tcW w:type="dxa" w:w="1584"/>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HEW o clínica</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Semanas 2 a 6</w:t>
            </w:r>
          </w:p>
        </w:tc>
        <w:tc>
          <w:tcPr>
            <w:tcW w:type="dxa" w:w="23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Controles posnatales</w:t>
            </w:r>
          </w:p>
        </w:tc>
        <w:tc>
          <w:tcPr>
            <w:tcW w:type="dxa" w:w="41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Recuperación, anticoncepción, inmunización y cuidado responsivo</w:t>
            </w:r>
          </w:p>
        </w:tc>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HEW y centro de salud</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2 a 5 meses</w:t>
            </w:r>
          </w:p>
        </w:tc>
        <w:tc>
          <w:tcPr>
            <w:tcW w:type="dxa" w:w="23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Contacto mensual o bimensual según riesgo</w:t>
            </w:r>
          </w:p>
        </w:tc>
        <w:tc>
          <w:tcPr>
            <w:tcW w:type="dxa" w:w="41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Lactancia, crecimiento, vacunas, desarrollo y enfermedad</w:t>
            </w:r>
          </w:p>
        </w:tc>
        <w:tc>
          <w:tcPr>
            <w:tcW w:type="dxa" w:w="1584"/>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HEW</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6 a 23 meses</w:t>
            </w:r>
          </w:p>
        </w:tc>
        <w:tc>
          <w:tcPr>
            <w:tcW w:type="dxa" w:w="23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Contacto mensual de crecimiento y riesgo</w:t>
            </w:r>
          </w:p>
        </w:tc>
        <w:tc>
          <w:tcPr>
            <w:tcW w:type="dxa" w:w="41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Dieta, antropometría, vacunas, desarrollo, WASH y apoyo social</w:t>
            </w:r>
          </w:p>
        </w:tc>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HEW con equipo multisectorial</w:t>
            </w:r>
          </w:p>
        </w:tc>
      </w:tr>
    </w:tbl>
    <w:p>
      <w:pPr>
        <w:spacing w:after="40"/>
      </w:pPr>
    </w:p>
    <w:p>
      <w:pPr>
        <w:pStyle w:val="Heading2"/>
      </w:pPr>
      <w:r>
        <w:t>7 2 Gestión de casos y referencia</w:t>
      </w:r>
    </w:p>
    <w:p>
      <w:r>
        <w:t>Cada caso de alto riesgo tendrá un gestor identificado y una fecha máxima de próximo contacto. La referencia se considera completa solo cuando el establecimiento receptor confirma llegada, atención y plan de retorno. Los casos urgentes dispondrán de una matriz de tiempo máximo, transporte y comunicación acordada por los clínicos locales. La familia no será responsable de coordinar sola entre niveles.</w:t>
      </w:r>
    </w:p>
    <w:p>
      <w:pPr>
        <w:pStyle w:val="Heading2"/>
      </w:pPr>
      <w:r>
        <w:t>7 3 Supervisión basada en competencias</w:t>
      </w:r>
    </w:p>
    <w:p>
      <w:pPr>
        <w:pStyle w:val="ListBullet"/>
        <w:spacing w:after="40"/>
      </w:pPr>
      <w:r>
        <w:t>Evaluación inicial individual y plan de mejora por establecimiento.</w:t>
      </w:r>
    </w:p>
    <w:p>
      <w:pPr>
        <w:pStyle w:val="ListBullet"/>
        <w:spacing w:after="40"/>
      </w:pPr>
      <w:r>
        <w:t>Mentoría mensual durante los primeros 12 meses y trimestral cuando la calidad sea estable.</w:t>
      </w:r>
    </w:p>
    <w:p>
      <w:pPr>
        <w:pStyle w:val="ListBullet"/>
        <w:spacing w:after="40"/>
      </w:pPr>
      <w:r>
        <w:t>Observación directa, revisión de expedientes, simulación y retroalimentación respetuosa; la asistencia a un curso no contará como competencia.</w:t>
      </w:r>
    </w:p>
    <w:p>
      <w:pPr>
        <w:pStyle w:val="ListBullet"/>
        <w:spacing w:after="40"/>
      </w:pPr>
      <w:r>
        <w:t>Equipos mixtos de Meki, Gambo y la red pública para reducir dependencia de expertos externos.</w:t>
      </w:r>
    </w:p>
    <w:p>
      <w:pPr>
        <w:pStyle w:val="ListBullet"/>
        <w:spacing w:after="40"/>
      </w:pPr>
      <w:r>
        <w:t>Acciones correctivas con responsable y fecha; escalamiento al comité clínico si persiste un riesgo de seguridad.</w:t>
      </w:r>
    </w:p>
    <w:p>
      <w:pPr>
        <w:pStyle w:val="Heading2"/>
      </w:pPr>
      <w:r>
        <w:t>7 4 Suministros y equipamiento</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151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Grupo trazador</w:t>
            </w:r>
          </w:p>
        </w:tc>
        <w:tc>
          <w:tcPr>
            <w:tcW w:type="dxa" w:w="460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Ejemplos</w:t>
            </w:r>
          </w:p>
        </w:tc>
        <w:tc>
          <w:tcPr>
            <w:tcW w:type="dxa" w:w="338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Control</w:t>
            </w:r>
          </w:p>
        </w:tc>
      </w:tr>
      <w:tr>
        <w:trPr>
          <w:cantSplit/>
        </w:trPr>
        <w:tc>
          <w:tcPr>
            <w:tcW w:type="dxa" w:w="151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Materno</w:t>
            </w:r>
          </w:p>
        </w:tc>
        <w:tc>
          <w:tcPr>
            <w:tcW w:type="dxa" w:w="460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Hierro y ácido fólico, pruebas, tensiómetros, tiras, oxitocina y sulfato de magnesio donde estén autorizados</w:t>
            </w:r>
          </w:p>
        </w:tc>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Consumo medio, stock mínimo máximo, caducidad y cadena de frío si aplica</w:t>
            </w:r>
          </w:p>
        </w:tc>
      </w:tr>
      <w:tr>
        <w:trPr>
          <w:cantSplit/>
        </w:trPr>
        <w:tc>
          <w:tcPr>
            <w:tcW w:type="dxa" w:w="151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Neonatal</w:t>
            </w:r>
          </w:p>
        </w:tc>
        <w:tc>
          <w:tcPr>
            <w:tcW w:type="dxa" w:w="460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Bolsa y mascarillas, aspiración conforme a protocolo, básculas, termómetros y material de canguro</w:t>
            </w:r>
          </w:p>
        </w:tc>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Lista de verificación funcional semanal</w:t>
            </w:r>
          </w:p>
        </w:tc>
      </w:tr>
      <w:tr>
        <w:trPr>
          <w:cantSplit/>
        </w:trPr>
        <w:tc>
          <w:tcPr>
            <w:tcW w:type="dxa" w:w="151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Nutrición</w:t>
            </w:r>
          </w:p>
        </w:tc>
        <w:tc>
          <w:tcPr>
            <w:tcW w:type="dxa" w:w="460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Cintas MUAC, tallímetros, infantómetros, básculas, alimento terapéutico y medicamentos</w:t>
            </w:r>
          </w:p>
        </w:tc>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Calibración, lotes, resultados y reposición</w:t>
            </w:r>
          </w:p>
        </w:tc>
      </w:tr>
      <w:tr>
        <w:trPr>
          <w:cantSplit/>
        </w:trPr>
        <w:tc>
          <w:tcPr>
            <w:tcW w:type="dxa" w:w="151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Infantil</w:t>
            </w:r>
          </w:p>
        </w:tc>
        <w:tc>
          <w:tcPr>
            <w:tcW w:type="dxa" w:w="460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Vacunas, ORS, zinc, antibióticos y pruebas conforme a norma</w:t>
            </w:r>
          </w:p>
        </w:tc>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Temperatura, consumo, seguridad y existencias</w:t>
            </w:r>
          </w:p>
        </w:tc>
      </w:tr>
      <w:tr>
        <w:trPr>
          <w:cantSplit/>
        </w:trPr>
        <w:tc>
          <w:tcPr>
            <w:tcW w:type="dxa" w:w="151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WASH</w:t>
            </w:r>
          </w:p>
        </w:tc>
        <w:tc>
          <w:tcPr>
            <w:tcW w:type="dxa" w:w="460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Jabón, cloro o método aprobado, recipientes, material de limpieza y gestión de residuos</w:t>
            </w:r>
          </w:p>
        </w:tc>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Disponibilidad diaria y mantenimiento</w:t>
            </w:r>
          </w:p>
        </w:tc>
      </w:tr>
    </w:tbl>
    <w:p>
      <w:pPr>
        <w:spacing w:after="40"/>
      </w:pPr>
    </w:p>
    <w:p>
      <w:pPr>
        <w:pStyle w:val="Heading2"/>
      </w:pPr>
      <w:r>
        <w:t>7 5 Datos y tecnología</w:t>
      </w:r>
    </w:p>
    <w:p>
      <w:r>
        <w:t>El programa usará HMIS y eCHIS cuando estén disponibles. En lugares sin eCHIS se aplicará un registro nominal mínimo compatible con migración posterior. Cada persona tendrá un identificador local; los tableros de gestión mostrarán datos agregados. El acceso a información identificable se limitará por función. Los dispositivos tendrán bloqueo, cifrado cuando sea posible, copia de seguridad y procedimiento de pérdida. No se recogerán fotografías, geolocalización precisa ni datos de violencia salvo necesidad, consentimiento y ruta segura.</w:t>
      </w:r>
    </w:p>
    <w:p>
      <w:pPr>
        <w:pStyle w:val="Heading1"/>
      </w:pPr>
      <w:r>
        <w:t>8 Plan de implementación</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1680"/>
        <w:gridCol w:w="1680"/>
        <w:gridCol w:w="1680"/>
        <w:gridCol w:w="1680"/>
        <w:gridCol w:w="1680"/>
        <w:gridCol w:w="1680"/>
      </w:tblGrid>
      <w:tr>
        <w:trPr>
          <w:tblHeader w:val="true"/>
        </w:trPr>
        <w:tc>
          <w:tcPr>
            <w:tcW w:type="dxa" w:w="223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Línea de trabajo</w:t>
            </w:r>
          </w:p>
        </w:tc>
        <w:tc>
          <w:tcPr>
            <w:tcW w:type="dxa" w:w="172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2027</w:t>
            </w:r>
          </w:p>
        </w:tc>
        <w:tc>
          <w:tcPr>
            <w:tcW w:type="dxa" w:w="172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2028</w:t>
            </w:r>
          </w:p>
        </w:tc>
        <w:tc>
          <w:tcPr>
            <w:tcW w:type="dxa" w:w="172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2029</w:t>
            </w:r>
          </w:p>
        </w:tc>
        <w:tc>
          <w:tcPr>
            <w:tcW w:type="dxa" w:w="172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2030</w:t>
            </w:r>
          </w:p>
        </w:tc>
        <w:tc>
          <w:tcPr>
            <w:tcW w:type="dxa" w:w="172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2031</w:t>
            </w:r>
          </w:p>
        </w:tc>
      </w:tr>
      <w:tr>
        <w:trPr>
          <w:cantSplit/>
        </w:trPr>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Gobernanza y acuerdos</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Diseño y firma</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Revisión</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Revisión</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Transferencia</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Cierre y escala</w:t>
            </w:r>
          </w:p>
        </w:tc>
      </w:tr>
      <w:tr>
        <w:trPr>
          <w:cantSplit/>
        </w:trPr>
        <w:tc>
          <w:tcPr>
            <w:tcW w:type="dxa" w:w="22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Línea de base y registro</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Base y censo</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Actualización</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Medio término</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Actualización</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Final</w:t>
            </w:r>
          </w:p>
        </w:tc>
      </w:tr>
      <w:tr>
        <w:trPr>
          <w:cantSplit/>
        </w:trPr>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Calidad clínica</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Estándares y mentoría intensiva</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Cobertura completa</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Consolidación</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Equipos locales lideran</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Auditoría final</w:t>
            </w:r>
          </w:p>
        </w:tc>
      </w:tr>
      <w:tr>
        <w:trPr>
          <w:cantSplit/>
        </w:trPr>
        <w:tc>
          <w:tcPr>
            <w:tcW w:type="dxa" w:w="22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Nutrición comunitaria</w:t>
            </w:r>
          </w:p>
        </w:tc>
        <w:tc>
          <w:tcPr>
            <w:tcW w:type="dxa" w:w="172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Piloto y suministros</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Expansión</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Optimización</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Transferencia</w:t>
            </w:r>
          </w:p>
        </w:tc>
        <w:tc>
          <w:tcPr>
            <w:tcW w:type="dxa" w:w="172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Integración rutinaria</w:t>
            </w:r>
          </w:p>
        </w:tc>
      </w:tr>
      <w:tr>
        <w:trPr>
          <w:cantSplit/>
        </w:trPr>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WASH y alimentos</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Auditoría y pilotos</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Expansión focalizada</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Ajuste estacional</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Transferencia</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Mantenimiento local</w:t>
            </w:r>
          </w:p>
        </w:tc>
      </w:tr>
      <w:tr>
        <w:trPr>
          <w:cantSplit/>
        </w:trPr>
        <w:tc>
          <w:tcPr>
            <w:tcW w:type="dxa" w:w="22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Apoyo económico</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Diseño y piloto</w:t>
            </w:r>
          </w:p>
        </w:tc>
        <w:tc>
          <w:tcPr>
            <w:tcW w:type="dxa" w:w="172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Cobertura por riesgo</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Evaluación</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4"/>
              </w:rPr>
              <w:t>Integración</w:t>
            </w:r>
          </w:p>
        </w:tc>
        <w:tc>
          <w:tcPr>
            <w:tcW w:type="dxa" w:w="172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Salida responsable</w:t>
            </w:r>
          </w:p>
        </w:tc>
      </w:tr>
      <w:tr>
        <w:trPr>
          <w:cantSplit/>
        </w:trPr>
        <w:tc>
          <w:tcPr>
            <w:tcW w:type="dxa" w:w="22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Aprendizaje y escala</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4"/>
              </w:rPr>
              <w:t>Agenda</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Ciclos trimestrales</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Evaluación intermedia</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Paquete de réplica</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Decisión de escala</w:t>
            </w:r>
          </w:p>
        </w:tc>
      </w:tr>
    </w:tbl>
    <w:p>
      <w:pPr>
        <w:spacing w:after="40"/>
      </w:pPr>
    </w:p>
    <w:p>
      <w:pPr>
        <w:pStyle w:val="Heading2"/>
      </w:pPr>
      <w:r>
        <w:t>8 1 Hitos y puertas de decisión</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144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Momento</w:t>
            </w:r>
          </w:p>
        </w:tc>
        <w:tc>
          <w:tcPr>
            <w:tcW w:type="dxa" w:w="302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Decisión</w:t>
            </w:r>
          </w:p>
        </w:tc>
        <w:tc>
          <w:tcPr>
            <w:tcW w:type="dxa" w:w="504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Evidencia mínima</w:t>
            </w:r>
          </w:p>
        </w:tc>
      </w:tr>
      <w:tr>
        <w:trPr>
          <w:cantSplit/>
        </w:trPr>
        <w:tc>
          <w:tcPr>
            <w:tcW w:type="dxa" w:w="14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Día 30</w:t>
            </w:r>
          </w:p>
        </w:tc>
        <w:tc>
          <w:tcPr>
            <w:tcW w:type="dxa" w:w="30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Continuar con línea de base</w:t>
            </w:r>
          </w:p>
        </w:tc>
        <w:tc>
          <w:tcPr>
            <w:tcW w:type="dxa" w:w="50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Convenios, responsables públicos, mapa inicial y plan de salvaguardas</w:t>
            </w:r>
          </w:p>
        </w:tc>
      </w:tr>
      <w:tr>
        <w:trPr>
          <w:cantSplit/>
        </w:trPr>
        <w:tc>
          <w:tcPr>
            <w:tcW w:type="dxa" w:w="14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Día 100</w:t>
            </w:r>
          </w:p>
        </w:tc>
        <w:tc>
          <w:tcPr>
            <w:tcW w:type="dxa" w:w="30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Autorizar despliegue inicial</w:t>
            </w:r>
          </w:p>
        </w:tc>
        <w:tc>
          <w:tcPr>
            <w:tcW w:type="dxa" w:w="50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Población validada, costes revisados, rutas de referencia y suministros críticos</w:t>
            </w:r>
          </w:p>
        </w:tc>
      </w:tr>
      <w:tr>
        <w:trPr>
          <w:cantSplit/>
        </w:trPr>
        <w:tc>
          <w:tcPr>
            <w:tcW w:type="dxa" w:w="14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Mes 6</w:t>
            </w:r>
          </w:p>
        </w:tc>
        <w:tc>
          <w:tcPr>
            <w:tcW w:type="dxa" w:w="30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Ampliar a todos los kebeles de fase 1</w:t>
            </w:r>
          </w:p>
        </w:tc>
        <w:tc>
          <w:tcPr>
            <w:tcW w:type="dxa" w:w="50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Competencias, calidad de datos, quejas operativas y disponibilidad mayor o igual a 90 por ciento</w:t>
            </w:r>
          </w:p>
        </w:tc>
      </w:tr>
      <w:tr>
        <w:trPr>
          <w:cantSplit/>
        </w:trPr>
        <w:tc>
          <w:tcPr>
            <w:tcW w:type="dxa" w:w="14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Mes 18</w:t>
            </w:r>
          </w:p>
        </w:tc>
        <w:tc>
          <w:tcPr>
            <w:tcW w:type="dxa" w:w="30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Ampliar o corregir</w:t>
            </w:r>
          </w:p>
        </w:tc>
        <w:tc>
          <w:tcPr>
            <w:tcW w:type="dxa" w:w="50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Cobertura efectiva, equidad, resultados clínicos y auditoría financiera</w:t>
            </w:r>
          </w:p>
        </w:tc>
      </w:tr>
      <w:tr>
        <w:trPr>
          <w:cantSplit/>
        </w:trPr>
        <w:tc>
          <w:tcPr>
            <w:tcW w:type="dxa" w:w="14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Mes 30</w:t>
            </w:r>
          </w:p>
        </w:tc>
        <w:tc>
          <w:tcPr>
            <w:tcW w:type="dxa" w:w="302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Mantener diseño o redirigir</w:t>
            </w:r>
          </w:p>
        </w:tc>
        <w:tc>
          <w:tcPr>
            <w:tcW w:type="dxa" w:w="50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Evaluación intermedia y análisis de coste</w:t>
            </w:r>
          </w:p>
        </w:tc>
      </w:tr>
      <w:tr>
        <w:trPr>
          <w:cantSplit/>
        </w:trPr>
        <w:tc>
          <w:tcPr>
            <w:tcW w:type="dxa" w:w="14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Mes 48</w:t>
            </w:r>
          </w:p>
        </w:tc>
        <w:tc>
          <w:tcPr>
            <w:tcW w:type="dxa" w:w="302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Aprobar transferencia</w:t>
            </w:r>
          </w:p>
        </w:tc>
        <w:tc>
          <w:tcPr>
            <w:tcW w:type="dxa" w:w="50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Presupuesto local, responsables, mantenimiento y desempeño estable</w:t>
            </w:r>
          </w:p>
        </w:tc>
      </w:tr>
      <w:tr>
        <w:trPr>
          <w:cantSplit/>
        </w:trPr>
        <w:tc>
          <w:tcPr>
            <w:tcW w:type="dxa" w:w="14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Mes 60</w:t>
            </w:r>
          </w:p>
        </w:tc>
        <w:tc>
          <w:tcPr>
            <w:tcW w:type="dxa" w:w="3024"/>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Cerrar o escalar</w:t>
            </w:r>
          </w:p>
        </w:tc>
        <w:tc>
          <w:tcPr>
            <w:tcW w:type="dxa" w:w="50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Evaluación final independiente y aceptación formal de activos y funciones</w:t>
            </w:r>
          </w:p>
        </w:tc>
      </w:tr>
    </w:tbl>
    <w:p>
      <w:pPr>
        <w:spacing w:after="40"/>
      </w:pPr>
    </w:p>
    <w:p>
      <w:pPr>
        <w:pStyle w:val="Heading1"/>
      </w:pPr>
      <w:r>
        <w:t>9 Gobernanza y equipo</w:t>
      </w:r>
    </w:p>
    <w:p>
      <w:pPr>
        <w:pStyle w:val="Heading2"/>
      </w:pPr>
      <w:r>
        <w:t>9 1 Estructura</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2520"/>
        <w:gridCol w:w="2520"/>
        <w:gridCol w:w="2520"/>
        <w:gridCol w:w="2520"/>
      </w:tblGrid>
      <w:tr>
        <w:trPr>
          <w:tblHeader w:val="true"/>
        </w:trPr>
        <w:tc>
          <w:tcPr>
            <w:tcW w:type="dxa" w:w="180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Órgano</w:t>
            </w:r>
          </w:p>
        </w:tc>
        <w:tc>
          <w:tcPr>
            <w:tcW w:type="dxa" w:w="324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Composición</w:t>
            </w:r>
          </w:p>
        </w:tc>
        <w:tc>
          <w:tcPr>
            <w:tcW w:type="dxa" w:w="324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Función</w:t>
            </w:r>
          </w:p>
        </w:tc>
        <w:tc>
          <w:tcPr>
            <w:tcW w:type="dxa" w:w="122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Frecuencia</w:t>
            </w:r>
          </w:p>
        </w:tc>
      </w:tr>
      <w:tr>
        <w:trPr>
          <w:cantSplit/>
        </w:trPr>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Comité directivo</w:t>
            </w:r>
          </w:p>
        </w:tc>
        <w:tc>
          <w:tcPr>
            <w:tcW w:type="dxa" w:w="32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Oromia, woredas, salud, finanzas, agua, agricultura, protección social, Meki, Gambo, representación comunitaria y financiador</w:t>
            </w:r>
          </w:p>
        </w:tc>
        <w:tc>
          <w:tcPr>
            <w:tcW w:type="dxa" w:w="32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Estrategia, presupuesto, riesgos, metas y escala</w:t>
            </w:r>
          </w:p>
        </w:tc>
        <w:tc>
          <w:tcPr>
            <w:tcW w:type="dxa" w:w="1224"/>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Trimestral</w:t>
            </w:r>
          </w:p>
        </w:tc>
      </w:tr>
      <w:tr>
        <w:trPr>
          <w:cantSplit/>
        </w:trPr>
        <w:tc>
          <w:tcPr>
            <w:tcW w:type="dxa" w:w="180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Dirección del programa</w:t>
            </w:r>
          </w:p>
        </w:tc>
        <w:tc>
          <w:tcPr>
            <w:tcW w:type="dxa" w:w="32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Director, responsables de nodo y líderes técnicos</w:t>
            </w:r>
          </w:p>
        </w:tc>
        <w:tc>
          <w:tcPr>
            <w:tcW w:type="dxa" w:w="32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Ejecución, coordinación y resolución diaria</w:t>
            </w:r>
          </w:p>
        </w:tc>
        <w:tc>
          <w:tcPr>
            <w:tcW w:type="dxa" w:w="1224"/>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Semanal</w:t>
            </w:r>
          </w:p>
        </w:tc>
      </w:tr>
      <w:tr>
        <w:trPr>
          <w:cantSplit/>
        </w:trPr>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Comité clínico y nutricional</w:t>
            </w:r>
          </w:p>
        </w:tc>
        <w:tc>
          <w:tcPr>
            <w:tcW w:type="dxa" w:w="32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Obstetricia, pediatría, matronas, nutrición, farmacia, HEW y referencia</w:t>
            </w:r>
          </w:p>
        </w:tc>
        <w:tc>
          <w:tcPr>
            <w:tcW w:type="dxa" w:w="32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Seguridad, protocolos, muertes, calidad y suministros</w:t>
            </w:r>
          </w:p>
        </w:tc>
        <w:tc>
          <w:tcPr>
            <w:tcW w:type="dxa" w:w="1224"/>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Mensual</w:t>
            </w:r>
          </w:p>
        </w:tc>
      </w:tr>
      <w:tr>
        <w:trPr>
          <w:cantSplit/>
        </w:trPr>
        <w:tc>
          <w:tcPr>
            <w:tcW w:type="dxa" w:w="180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Foro comunitario</w:t>
            </w:r>
          </w:p>
        </w:tc>
        <w:tc>
          <w:tcPr>
            <w:tcW w:type="dxa" w:w="32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Mujeres, padres, adolescentes, discapacidad, líderes y VHL</w:t>
            </w:r>
          </w:p>
        </w:tc>
        <w:tc>
          <w:tcPr>
            <w:tcW w:type="dxa" w:w="32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Diseño, barreras, quejas y rendición de cuentas</w:t>
            </w:r>
          </w:p>
        </w:tc>
        <w:tc>
          <w:tcPr>
            <w:tcW w:type="dxa" w:w="1224"/>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Bimestral</w:t>
            </w:r>
          </w:p>
        </w:tc>
      </w:tr>
      <w:tr>
        <w:trPr>
          <w:cantSplit/>
        </w:trPr>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Comité de datos y aprendizaje</w:t>
            </w:r>
          </w:p>
        </w:tc>
        <w:tc>
          <w:tcPr>
            <w:tcW w:type="dxa" w:w="32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MEL, HMIS, clínicos y woredas</w:t>
            </w:r>
          </w:p>
        </w:tc>
        <w:tc>
          <w:tcPr>
            <w:tcW w:type="dxa" w:w="32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Calidad de datos, análisis y adaptación</w:t>
            </w:r>
          </w:p>
        </w:tc>
        <w:tc>
          <w:tcPr>
            <w:tcW w:type="dxa" w:w="1224"/>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Mensual</w:t>
            </w:r>
          </w:p>
        </w:tc>
      </w:tr>
    </w:tbl>
    <w:p>
      <w:pPr>
        <w:spacing w:after="40"/>
      </w:pPr>
    </w:p>
    <w:p>
      <w:pPr>
        <w:pStyle w:val="Heading2"/>
      </w:pPr>
      <w:r>
        <w:t>9 2 Equipo financiado por el proyecto</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338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Puesto</w:t>
            </w:r>
          </w:p>
        </w:tc>
        <w:tc>
          <w:tcPr>
            <w:tcW w:type="dxa" w:w="165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Cantidad indicativa</w:t>
            </w:r>
          </w:p>
        </w:tc>
        <w:tc>
          <w:tcPr>
            <w:tcW w:type="dxa" w:w="453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Responsabilidad</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Dirección de programa</w:t>
            </w:r>
          </w:p>
        </w:tc>
        <w:tc>
          <w:tcPr>
            <w:tcW w:type="dxa" w:w="1656"/>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1</w:t>
            </w:r>
          </w:p>
        </w:tc>
        <w:tc>
          <w:tcPr>
            <w:tcW w:type="dxa" w:w="453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Resultados, alianzas, presupuesto, riesgos y transferencia</w:t>
            </w:r>
          </w:p>
        </w:tc>
      </w:tr>
      <w:tr>
        <w:trPr>
          <w:cantSplit/>
        </w:trPr>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Responsables de nodo</w:t>
            </w:r>
          </w:p>
        </w:tc>
        <w:tc>
          <w:tcPr>
            <w:tcW w:type="dxa" w:w="1656"/>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2</w:t>
            </w:r>
          </w:p>
        </w:tc>
        <w:tc>
          <w:tcPr>
            <w:tcW w:type="dxa" w:w="453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Operación diaria en Meki y Gambo</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Liderazgo materno neonatal</w:t>
            </w:r>
          </w:p>
        </w:tc>
        <w:tc>
          <w:tcPr>
            <w:tcW w:type="dxa" w:w="1656"/>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1</w:t>
            </w:r>
          </w:p>
        </w:tc>
        <w:tc>
          <w:tcPr>
            <w:tcW w:type="dxa" w:w="453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Calidad obstétrica, neonatal, referencia y mentoría</w:t>
            </w:r>
          </w:p>
        </w:tc>
      </w:tr>
      <w:tr>
        <w:trPr>
          <w:cantSplit/>
        </w:trPr>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Liderazgo de nutrición</w:t>
            </w:r>
          </w:p>
        </w:tc>
        <w:tc>
          <w:tcPr>
            <w:tcW w:type="dxa" w:w="1656"/>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1</w:t>
            </w:r>
          </w:p>
        </w:tc>
        <w:tc>
          <w:tcPr>
            <w:tcW w:type="dxa" w:w="453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IYCF, malnutrición, suministros y calidad</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Especialista WASH y resiliencia</w:t>
            </w:r>
          </w:p>
        </w:tc>
        <w:tc>
          <w:tcPr>
            <w:tcW w:type="dxa" w:w="1656"/>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1</w:t>
            </w:r>
          </w:p>
        </w:tc>
        <w:tc>
          <w:tcPr>
            <w:tcW w:type="dxa" w:w="453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Establecimientos, hogares, clima y continuidad</w:t>
            </w:r>
          </w:p>
        </w:tc>
      </w:tr>
      <w:tr>
        <w:trPr>
          <w:cantSplit/>
        </w:trPr>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Especialista MEL y datos</w:t>
            </w:r>
          </w:p>
        </w:tc>
        <w:tc>
          <w:tcPr>
            <w:tcW w:type="dxa" w:w="1656"/>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1</w:t>
            </w:r>
          </w:p>
        </w:tc>
        <w:tc>
          <w:tcPr>
            <w:tcW w:type="dxa" w:w="453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Marco de resultados, eCHIS, calidad y evaluación</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Responsable de protección y participación</w:t>
            </w:r>
          </w:p>
        </w:tc>
        <w:tc>
          <w:tcPr>
            <w:tcW w:type="dxa" w:w="1656"/>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1</w:t>
            </w:r>
          </w:p>
        </w:tc>
        <w:tc>
          <w:tcPr>
            <w:tcW w:type="dxa" w:w="453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PSEA, niñez, género, quejas e inclusión</w:t>
            </w:r>
          </w:p>
        </w:tc>
      </w:tr>
      <w:tr>
        <w:trPr>
          <w:cantSplit/>
        </w:trPr>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Oficiales de mentoría</w:t>
            </w:r>
          </w:p>
        </w:tc>
        <w:tc>
          <w:tcPr>
            <w:tcW w:type="dxa" w:w="1656"/>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6</w:t>
            </w:r>
          </w:p>
        </w:tc>
        <w:tc>
          <w:tcPr>
            <w:tcW w:type="dxa" w:w="453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Supervisión de redes y acciones correctivas</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Logística y cadena de suministro</w:t>
            </w:r>
          </w:p>
        </w:tc>
        <w:tc>
          <w:tcPr>
            <w:tcW w:type="dxa" w:w="1656"/>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2</w:t>
            </w:r>
          </w:p>
        </w:tc>
        <w:tc>
          <w:tcPr>
            <w:tcW w:type="dxa" w:w="453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Compras, almacén, distribución y mantenimiento</w:t>
            </w:r>
          </w:p>
        </w:tc>
      </w:tr>
      <w:tr>
        <w:trPr>
          <w:cantSplit/>
        </w:trPr>
        <w:tc>
          <w:tcPr>
            <w:tcW w:type="dxa" w:w="33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Finanzas y administración</w:t>
            </w:r>
          </w:p>
        </w:tc>
        <w:tc>
          <w:tcPr>
            <w:tcW w:type="dxa" w:w="1656"/>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3</w:t>
            </w:r>
          </w:p>
        </w:tc>
        <w:tc>
          <w:tcPr>
            <w:tcW w:type="dxa" w:w="453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Control, contratos, nómina, auditoría y soporte</w:t>
            </w:r>
          </w:p>
        </w:tc>
      </w:tr>
      <w:tr>
        <w:trPr>
          <w:cantSplit/>
        </w:trPr>
        <w:tc>
          <w:tcPr>
            <w:tcW w:type="dxa" w:w="33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Conductores y apoyo</w:t>
            </w:r>
          </w:p>
        </w:tc>
        <w:tc>
          <w:tcPr>
            <w:tcW w:type="dxa" w:w="1656"/>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Según flota</w:t>
            </w:r>
          </w:p>
        </w:tc>
        <w:tc>
          <w:tcPr>
            <w:tcW w:type="dxa" w:w="453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Referencia, distribución y acceso seguro</w:t>
            </w:r>
          </w:p>
        </w:tc>
      </w:tr>
    </w:tbl>
    <w:p>
      <w:pPr>
        <w:spacing w:after="40"/>
      </w:pPr>
    </w:p>
    <w:p>
      <w:pPr>
        <w:pStyle w:val="Smallnote"/>
      </w:pPr>
      <w:r>
        <w:t>El proyecto no sustituirá puestos públicos estructurales. Las primas, dietas y complementos se acordarán con la autoridad para evitar distorsiones salariales y dependencia.</w:t>
      </w:r>
    </w:p>
    <w:p>
      <w:pPr>
        <w:pStyle w:val="Heading2"/>
      </w:pPr>
      <w:r>
        <w:t>9 3 Responsabilidad de decisión</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2016"/>
        <w:gridCol w:w="2016"/>
        <w:gridCol w:w="2016"/>
        <w:gridCol w:w="2016"/>
        <w:gridCol w:w="2016"/>
      </w:tblGrid>
      <w:tr>
        <w:trPr>
          <w:tblHeader w:val="true"/>
        </w:trPr>
        <w:tc>
          <w:tcPr>
            <w:tcW w:type="dxa" w:w="259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Decisión</w:t>
            </w:r>
          </w:p>
        </w:tc>
        <w:tc>
          <w:tcPr>
            <w:tcW w:type="dxa" w:w="180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Propone</w:t>
            </w:r>
          </w:p>
        </w:tc>
        <w:tc>
          <w:tcPr>
            <w:tcW w:type="dxa" w:w="216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Aprueba</w:t>
            </w:r>
          </w:p>
        </w:tc>
        <w:tc>
          <w:tcPr>
            <w:tcW w:type="dxa" w:w="194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Consulta</w:t>
            </w:r>
          </w:p>
        </w:tc>
        <w:tc>
          <w:tcPr>
            <w:tcW w:type="dxa" w:w="115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Informa</w:t>
            </w:r>
          </w:p>
        </w:tc>
      </w:tr>
      <w:tr>
        <w:trPr>
          <w:cantSplit/>
        </w:trPr>
        <w:tc>
          <w:tcPr>
            <w:tcW w:type="dxa" w:w="259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Selección de kebeles</w:t>
            </w:r>
          </w:p>
        </w:tc>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Woredas y dirección</w:t>
            </w:r>
          </w:p>
        </w:tc>
        <w:tc>
          <w:tcPr>
            <w:tcW w:type="dxa" w:w="216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Comité directivo</w:t>
            </w:r>
          </w:p>
        </w:tc>
        <w:tc>
          <w:tcPr>
            <w:tcW w:type="dxa" w:w="194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Comunidades y equipos</w:t>
            </w:r>
          </w:p>
        </w:tc>
        <w:tc>
          <w:tcPr>
            <w:tcW w:type="dxa" w:w="1152"/>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Financiador</w:t>
            </w:r>
          </w:p>
        </w:tc>
      </w:tr>
      <w:tr>
        <w:trPr>
          <w:cantSplit/>
        </w:trPr>
        <w:tc>
          <w:tcPr>
            <w:tcW w:type="dxa" w:w="259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Cambio clínico</w:t>
            </w:r>
          </w:p>
        </w:tc>
        <w:tc>
          <w:tcPr>
            <w:tcW w:type="dxa" w:w="180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Comité clínico</w:t>
            </w:r>
          </w:p>
        </w:tc>
        <w:tc>
          <w:tcPr>
            <w:tcW w:type="dxa" w:w="216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Autoridad sanitaria competente</w:t>
            </w:r>
          </w:p>
        </w:tc>
        <w:tc>
          <w:tcPr>
            <w:tcW w:type="dxa" w:w="1944"/>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Personal y socios</w:t>
            </w:r>
          </w:p>
        </w:tc>
        <w:tc>
          <w:tcPr>
            <w:tcW w:type="dxa" w:w="1152"/>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Comité directivo</w:t>
            </w:r>
          </w:p>
        </w:tc>
      </w:tr>
      <w:tr>
        <w:trPr>
          <w:cantSplit/>
        </w:trPr>
        <w:tc>
          <w:tcPr>
            <w:tcW w:type="dxa" w:w="259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Reasignación menor de presupuesto</w:t>
            </w:r>
          </w:p>
        </w:tc>
        <w:tc>
          <w:tcPr>
            <w:tcW w:type="dxa" w:w="180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Dirección</w:t>
            </w:r>
          </w:p>
        </w:tc>
        <w:tc>
          <w:tcPr>
            <w:tcW w:type="dxa" w:w="216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Titular financiero según umbral</w:t>
            </w:r>
          </w:p>
        </w:tc>
        <w:tc>
          <w:tcPr>
            <w:tcW w:type="dxa" w:w="1944"/>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Líder técnico</w:t>
            </w:r>
          </w:p>
        </w:tc>
        <w:tc>
          <w:tcPr>
            <w:tcW w:type="dxa" w:w="1152"/>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Comité directivo</w:t>
            </w:r>
          </w:p>
        </w:tc>
      </w:tr>
      <w:tr>
        <w:trPr>
          <w:cantSplit/>
        </w:trPr>
        <w:tc>
          <w:tcPr>
            <w:tcW w:type="dxa" w:w="259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Activación de crisis</w:t>
            </w:r>
          </w:p>
        </w:tc>
        <w:tc>
          <w:tcPr>
            <w:tcW w:type="dxa" w:w="180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Dirección y woredas</w:t>
            </w:r>
          </w:p>
        </w:tc>
        <w:tc>
          <w:tcPr>
            <w:tcW w:type="dxa" w:w="216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Comité directivo o delegación</w:t>
            </w:r>
          </w:p>
        </w:tc>
        <w:tc>
          <w:tcPr>
            <w:tcW w:type="dxa" w:w="194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Agencias relevantes</w:t>
            </w:r>
          </w:p>
        </w:tc>
        <w:tc>
          <w:tcPr>
            <w:tcW w:type="dxa" w:w="1152"/>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Comunidades</w:t>
            </w:r>
          </w:p>
        </w:tc>
      </w:tr>
      <w:tr>
        <w:trPr>
          <w:cantSplit/>
        </w:trPr>
        <w:tc>
          <w:tcPr>
            <w:tcW w:type="dxa" w:w="259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Suspensión por salvaguarda</w:t>
            </w:r>
          </w:p>
        </w:tc>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Responsable de protección</w:t>
            </w:r>
          </w:p>
        </w:tc>
        <w:tc>
          <w:tcPr>
            <w:tcW w:type="dxa" w:w="216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Director o autoridad designada</w:t>
            </w:r>
          </w:p>
        </w:tc>
        <w:tc>
          <w:tcPr>
            <w:tcW w:type="dxa" w:w="194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Asesoría legal y autoridad</w:t>
            </w:r>
          </w:p>
        </w:tc>
        <w:tc>
          <w:tcPr>
            <w:tcW w:type="dxa" w:w="115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Financiador según obligación</w:t>
            </w:r>
          </w:p>
        </w:tc>
      </w:tr>
    </w:tbl>
    <w:p>
      <w:pPr>
        <w:spacing w:after="40"/>
      </w:pPr>
    </w:p>
    <w:p>
      <w:pPr>
        <w:pStyle w:val="Heading1"/>
      </w:pPr>
      <w:r>
        <w:t>10 Seguimiento evaluación aprendizaje y rendición de cuentas</w:t>
      </w:r>
    </w:p>
    <w:p>
      <w:pPr>
        <w:pStyle w:val="Heading2"/>
      </w:pPr>
      <w:r>
        <w:t>10 1 Sistema de medición</w:t>
      </w:r>
    </w:p>
    <w:p>
      <w:pPr>
        <w:pStyle w:val="ListBullet"/>
        <w:spacing w:after="40"/>
      </w:pPr>
      <w:r>
        <w:t>Tablero mensual de cobertura, calidad, suministros, referencias, equidad y salvaguardas.</w:t>
      </w:r>
    </w:p>
    <w:p>
      <w:pPr>
        <w:pStyle w:val="ListBullet"/>
        <w:spacing w:after="40"/>
      </w:pPr>
      <w:r>
        <w:t>Revisión trimestral por cohorte para saber qué proporción recibió el paquete completo, no solo contactos aislados.</w:t>
      </w:r>
    </w:p>
    <w:p>
      <w:pPr>
        <w:pStyle w:val="ListBullet"/>
        <w:spacing w:after="40"/>
      </w:pPr>
      <w:r>
        <w:t>Encuestas de base, mes 30 y mes 58 con muestreo poblacional y antropometría estandarizada.</w:t>
      </w:r>
    </w:p>
    <w:p>
      <w:pPr>
        <w:pStyle w:val="ListBullet"/>
        <w:spacing w:after="40"/>
      </w:pPr>
      <w:r>
        <w:t>Evaluación independiente con comparación de tendencias frente a áreas similares cuando sea factible y ético.</w:t>
      </w:r>
    </w:p>
    <w:p>
      <w:pPr>
        <w:pStyle w:val="ListBullet"/>
        <w:spacing w:after="40"/>
      </w:pPr>
      <w:r>
        <w:t>Estudios breves de implementación sobre abandono, calidad de consejería, transporte, carga de las HEW y coste por resultado.</w:t>
      </w:r>
    </w:p>
    <w:p>
      <w:pPr>
        <w:pStyle w:val="ListBullet"/>
        <w:spacing w:after="40"/>
      </w:pPr>
      <w:r>
        <w:t>Sesiones mensuales de uso de datos en establecimientos y ciclos trimestrales de mejora con acciones registradas.</w:t>
      </w:r>
    </w:p>
    <w:p>
      <w:pPr>
        <w:pStyle w:val="Heading2"/>
      </w:pPr>
      <w:r>
        <w:t>10 2 Calidad de datos</w:t>
      </w:r>
    </w:p>
    <w:p>
      <w:r>
        <w:t>Cada indicador tendrá definición, numerador, denominador, frecuencia, fuente, responsable y regla de desagregación. Se realizarán verificaciones trimestrales comparando registro nominal, resumen, HMIS, existencias y una muestra de expedientes. Las correcciones conservarán trazabilidad. La financiación no se vinculará a un solo indicador clínico para evitar incentivos perversos.</w:t>
      </w:r>
    </w:p>
    <w:p>
      <w:pPr>
        <w:pStyle w:val="Heading2"/>
      </w:pPr>
      <w:r>
        <w:t>10 3 Aprendizaje y adaptación</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288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Pregunta</w:t>
            </w:r>
          </w:p>
        </w:tc>
        <w:tc>
          <w:tcPr>
            <w:tcW w:type="dxa" w:w="367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Método</w:t>
            </w:r>
          </w:p>
        </w:tc>
        <w:tc>
          <w:tcPr>
            <w:tcW w:type="dxa" w:w="309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Decisión asociada</w:t>
            </w:r>
          </w:p>
        </w:tc>
      </w:tr>
      <w:tr>
        <w:trPr>
          <w:cantSplit/>
        </w:trPr>
        <w:tc>
          <w:tcPr>
            <w:tcW w:type="dxa" w:w="288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Qué familias siguen quedando fuera</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Mapa de cobertura, entrevistas y análisis por distancia y vulnerabilidad</w:t>
            </w:r>
          </w:p>
        </w:tc>
        <w:tc>
          <w:tcPr>
            <w:tcW w:type="dxa" w:w="309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Rediseñar rutas, horarios, transporte o búsqueda activa</w:t>
            </w:r>
          </w:p>
        </w:tc>
      </w:tr>
      <w:tr>
        <w:trPr>
          <w:cantSplit/>
        </w:trPr>
        <w:tc>
          <w:tcPr>
            <w:tcW w:type="dxa" w:w="288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Qué contactos cambian prácticas</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Observación, encuesta breve y análisis de secuencia</w:t>
            </w:r>
          </w:p>
        </w:tc>
        <w:tc>
          <w:tcPr>
            <w:tcW w:type="dxa" w:w="309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Simplificar o reforzar la consejería</w:t>
            </w:r>
          </w:p>
        </w:tc>
      </w:tr>
      <w:tr>
        <w:trPr>
          <w:cantSplit/>
        </w:trPr>
        <w:tc>
          <w:tcPr>
            <w:tcW w:type="dxa" w:w="288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Dónde se rompen las referencias</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Trazado de tiempos y revisión de casos</w:t>
            </w:r>
          </w:p>
        </w:tc>
        <w:tc>
          <w:tcPr>
            <w:tcW w:type="dxa" w:w="309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Cambiar comunicación, transporte o establecimiento receptor</w:t>
            </w:r>
          </w:p>
        </w:tc>
      </w:tr>
      <w:tr>
        <w:trPr>
          <w:cantSplit/>
        </w:trPr>
        <w:tc>
          <w:tcPr>
            <w:tcW w:type="dxa" w:w="288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Qué apoyo alimentario es coste efectivo</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Comparación de modalidades y coste por hogar que mejora dieta</w:t>
            </w:r>
          </w:p>
        </w:tc>
        <w:tc>
          <w:tcPr>
            <w:tcW w:type="dxa" w:w="309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Mantener, modificar o retirar vales y transferencias</w:t>
            </w:r>
          </w:p>
        </w:tc>
      </w:tr>
      <w:tr>
        <w:trPr>
          <w:cantSplit/>
        </w:trPr>
        <w:tc>
          <w:tcPr>
            <w:tcW w:type="dxa" w:w="288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Qué funciones puede absorber el sistema</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Análisis de costes, plantilla y presupuesto</w:t>
            </w:r>
          </w:p>
        </w:tc>
        <w:tc>
          <w:tcPr>
            <w:tcW w:type="dxa" w:w="309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Plan de transferencia anual</w:t>
            </w:r>
          </w:p>
        </w:tc>
      </w:tr>
    </w:tbl>
    <w:p>
      <w:pPr>
        <w:spacing w:after="40"/>
      </w:pPr>
    </w:p>
    <w:p>
      <w:pPr>
        <w:pStyle w:val="Heading2"/>
      </w:pPr>
      <w:r>
        <w:t>10 4 Rendición de cuentas</w:t>
      </w:r>
    </w:p>
    <w:p>
      <w:pPr>
        <w:pStyle w:val="ListBullet"/>
        <w:spacing w:after="40"/>
      </w:pPr>
      <w:r>
        <w:t>Canales de queja orales, escritos y telefónicos en Afaan Oromo, con opción confidencial y sin represalias.</w:t>
      </w:r>
    </w:p>
    <w:p>
      <w:pPr>
        <w:pStyle w:val="ListBullet"/>
        <w:spacing w:after="40"/>
      </w:pPr>
      <w:r>
        <w:t>Información pública sobre servicios gratuitos, criterios de apoyo, tiempos de respuesta y prohibición de explotación y abuso.</w:t>
      </w:r>
    </w:p>
    <w:p>
      <w:pPr>
        <w:pStyle w:val="ListBullet"/>
        <w:spacing w:after="40"/>
      </w:pPr>
      <w:r>
        <w:t>Respuesta ordinaria en un máximo de 15 días; derivación inmediata de riesgos de protección o seguridad clínica.</w:t>
      </w:r>
    </w:p>
    <w:p>
      <w:pPr>
        <w:pStyle w:val="ListBullet"/>
        <w:spacing w:after="40"/>
      </w:pPr>
      <w:r>
        <w:t>Foros bimestrales con devolución de cambios realizados y razones cuando una solicitud no pueda atenderse.</w:t>
      </w:r>
    </w:p>
    <w:p>
      <w:pPr>
        <w:pStyle w:val="ListBullet"/>
        <w:spacing w:after="40"/>
      </w:pPr>
      <w:r>
        <w:t>Encuesta anual de experiencia, respeto, costes soportados y barreras, con participación de adolescentes y personas con discapacidad.</w:t>
      </w:r>
    </w:p>
    <w:p>
      <w:pPr>
        <w:pStyle w:val="Heading1"/>
      </w:pPr>
      <w:r>
        <w:t>11 Presupuesto y financiación</w:t>
      </w:r>
    </w:p>
    <w:p>
      <w:pPr>
        <w:pStyle w:val="Heading2"/>
      </w:pPr>
      <w:r>
        <w:t>11 1 Presupuesto indicativo por componente</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604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Componente</w:t>
            </w:r>
          </w:p>
        </w:tc>
        <w:tc>
          <w:tcPr>
            <w:tcW w:type="dxa" w:w="172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Euros</w:t>
            </w:r>
          </w:p>
        </w:tc>
        <w:tc>
          <w:tcPr>
            <w:tcW w:type="dxa" w:w="172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Peso</w:t>
            </w:r>
          </w:p>
        </w:tc>
      </w:tr>
      <w:tr>
        <w:trPr>
          <w:cantSplit/>
        </w:trPr>
        <w:tc>
          <w:tcPr>
            <w:tcW w:type="dxa" w:w="604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Personal, mentoría y formación</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1.650.000</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20,6 por ciento</w:t>
            </w:r>
          </w:p>
        </w:tc>
      </w:tr>
      <w:tr>
        <w:trPr>
          <w:cantSplit/>
        </w:trPr>
        <w:tc>
          <w:tcPr>
            <w:tcW w:type="dxa" w:w="604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Calidad clínica, equipamiento y mantenimiento</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1.050.000</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13,1 por ciento</w:t>
            </w:r>
          </w:p>
        </w:tc>
      </w:tr>
      <w:tr>
        <w:trPr>
          <w:cantSplit/>
        </w:trPr>
        <w:tc>
          <w:tcPr>
            <w:tcW w:type="dxa" w:w="604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Nutrición y productos esenciales de brecha</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900.000</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11,3 por ciento</w:t>
            </w:r>
          </w:p>
        </w:tc>
      </w:tr>
      <w:tr>
        <w:trPr>
          <w:cantSplit/>
        </w:trPr>
        <w:tc>
          <w:tcPr>
            <w:tcW w:type="dxa" w:w="604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Participación comunitaria y cambio social</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550.000</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6,9 por ciento</w:t>
            </w:r>
          </w:p>
        </w:tc>
      </w:tr>
      <w:tr>
        <w:trPr>
          <w:cantSplit/>
        </w:trPr>
        <w:tc>
          <w:tcPr>
            <w:tcW w:type="dxa" w:w="604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Dietas, agricultura sensible y apoyo económico focalizado</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1.150.000</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14,4 por ciento</w:t>
            </w:r>
          </w:p>
        </w:tc>
      </w:tr>
      <w:tr>
        <w:trPr>
          <w:cantSplit/>
        </w:trPr>
        <w:tc>
          <w:tcPr>
            <w:tcW w:type="dxa" w:w="604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Agua saneamiento e higiene</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550.000</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6,9 por ciento</w:t>
            </w:r>
          </w:p>
        </w:tc>
      </w:tr>
      <w:tr>
        <w:trPr>
          <w:cantSplit/>
        </w:trPr>
        <w:tc>
          <w:tcPr>
            <w:tcW w:type="dxa" w:w="604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Referencia, transporte y logística</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600.000</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7,5 por ciento</w:t>
            </w:r>
          </w:p>
        </w:tc>
      </w:tr>
      <w:tr>
        <w:trPr>
          <w:cantSplit/>
        </w:trPr>
        <w:tc>
          <w:tcPr>
            <w:tcW w:type="dxa" w:w="604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Datos, evaluación, investigación y aprendizaje</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700.000</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8,8 por ciento</w:t>
            </w:r>
          </w:p>
        </w:tc>
      </w:tr>
      <w:tr>
        <w:trPr>
          <w:cantSplit/>
        </w:trPr>
        <w:tc>
          <w:tcPr>
            <w:tcW w:type="dxa" w:w="604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Gestión, auditoría, protección y seguros</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450.000</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5,6 por ciento</w:t>
            </w:r>
          </w:p>
        </w:tc>
      </w:tr>
      <w:tr>
        <w:trPr>
          <w:cantSplit/>
        </w:trPr>
        <w:tc>
          <w:tcPr>
            <w:tcW w:type="dxa" w:w="604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6"/>
              </w:rPr>
              <w:t>Reserva de contingencia</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400.000</w:t>
            </w:r>
          </w:p>
        </w:tc>
        <w:tc>
          <w:tcPr>
            <w:tcW w:type="dxa" w:w="1728"/>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6"/>
              </w:rPr>
              <w:t>5,0 por ciento</w:t>
            </w:r>
          </w:p>
        </w:tc>
      </w:tr>
      <w:tr>
        <w:trPr>
          <w:cantSplit/>
        </w:trPr>
        <w:tc>
          <w:tcPr>
            <w:tcW w:type="dxa" w:w="604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6"/>
              </w:rPr>
              <w:t>Total</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8.000.000</w:t>
            </w:r>
          </w:p>
        </w:tc>
        <w:tc>
          <w:tcPr>
            <w:tcW w:type="dxa" w:w="1728"/>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6"/>
              </w:rPr>
              <w:t>100 por ciento</w:t>
            </w:r>
          </w:p>
        </w:tc>
      </w:tr>
    </w:tbl>
    <w:p>
      <w:pPr>
        <w:spacing w:after="40"/>
      </w:pPr>
    </w:p>
    <w:p>
      <w:pPr>
        <w:pStyle w:val="Heading2"/>
      </w:pPr>
      <w:r>
        <w:t>11 2 Distribución anual</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158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Año</w:t>
            </w:r>
          </w:p>
        </w:tc>
        <w:tc>
          <w:tcPr>
            <w:tcW w:type="dxa" w:w="201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Euros</w:t>
            </w:r>
          </w:p>
        </w:tc>
        <w:tc>
          <w:tcPr>
            <w:tcW w:type="dxa" w:w="590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Uso dominante</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2027</w:t>
            </w:r>
          </w:p>
        </w:tc>
        <w:tc>
          <w:tcPr>
            <w:tcW w:type="dxa" w:w="2016"/>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1.800.000</w:t>
            </w:r>
          </w:p>
        </w:tc>
        <w:tc>
          <w:tcPr>
            <w:tcW w:type="dxa" w:w="59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Arranque, línea de base, personal, equipamiento y pilotos</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2028</w:t>
            </w:r>
          </w:p>
        </w:tc>
        <w:tc>
          <w:tcPr>
            <w:tcW w:type="dxa" w:w="2016"/>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7"/>
              </w:rPr>
              <w:t>1.650.000</w:t>
            </w:r>
          </w:p>
        </w:tc>
        <w:tc>
          <w:tcPr>
            <w:tcW w:type="dxa" w:w="59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Expansión de cobertura y ayudas focalizadas</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2029</w:t>
            </w:r>
          </w:p>
        </w:tc>
        <w:tc>
          <w:tcPr>
            <w:tcW w:type="dxa" w:w="2016"/>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1.650.000</w:t>
            </w:r>
          </w:p>
        </w:tc>
        <w:tc>
          <w:tcPr>
            <w:tcW w:type="dxa" w:w="59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Cobertura completa, evaluación intermedia y ajuste</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2030</w:t>
            </w:r>
          </w:p>
        </w:tc>
        <w:tc>
          <w:tcPr>
            <w:tcW w:type="dxa" w:w="2016"/>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7"/>
              </w:rPr>
              <w:t>1.550.000</w:t>
            </w:r>
          </w:p>
        </w:tc>
        <w:tc>
          <w:tcPr>
            <w:tcW w:type="dxa" w:w="59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Consolidación, transferencia y mantenimiento</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2031</w:t>
            </w:r>
          </w:p>
        </w:tc>
        <w:tc>
          <w:tcPr>
            <w:tcW w:type="dxa" w:w="2016"/>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7"/>
              </w:rPr>
              <w:t>1.350.000</w:t>
            </w:r>
          </w:p>
        </w:tc>
        <w:tc>
          <w:tcPr>
            <w:tcW w:type="dxa" w:w="59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Transición, evaluación final y escala</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Total</w:t>
            </w:r>
          </w:p>
        </w:tc>
        <w:tc>
          <w:tcPr>
            <w:tcW w:type="dxa" w:w="2016"/>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7"/>
              </w:rPr>
              <w:t>8.000.000</w:t>
            </w:r>
          </w:p>
        </w:tc>
        <w:tc>
          <w:tcPr>
            <w:tcW w:type="dxa" w:w="5904"/>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7"/>
              </w:rPr>
              <w:t>Cinco años</w:t>
            </w:r>
          </w:p>
        </w:tc>
      </w:tr>
    </w:tbl>
    <w:p>
      <w:pPr>
        <w:spacing w:after="40"/>
      </w:pPr>
    </w:p>
    <w:p>
      <w:pPr>
        <w:pStyle w:val="Heading2"/>
      </w:pPr>
      <w:r>
        <w:t>11 3 Supuestos financieros</w:t>
      </w:r>
    </w:p>
    <w:p>
      <w:pPr>
        <w:pStyle w:val="ListBullet"/>
        <w:spacing w:after="40"/>
      </w:pPr>
      <w:r>
        <w:t>Presupuesto expresado en euros de 2026; contratos locales se ejecutarán en moneda aprobada y se gestionará el riesgo cambiario.</w:t>
      </w:r>
    </w:p>
    <w:p>
      <w:pPr>
        <w:pStyle w:val="ListBullet"/>
        <w:spacing w:after="40"/>
      </w:pPr>
      <w:r>
        <w:t>Incluye costes incrementales del proyecto, no el salario ordinario de toda la plantilla pública ni productos ya garantizados por el Estado.</w:t>
      </w:r>
    </w:p>
    <w:p>
      <w:pPr>
        <w:pStyle w:val="ListBullet"/>
        <w:spacing w:after="40"/>
      </w:pPr>
      <w:r>
        <w:t>La línea de base puede mover hasta 20 por ciento entre componentes sin alterar el techo, sujeto a aprobación y justificación.</w:t>
      </w:r>
    </w:p>
    <w:p>
      <w:pPr>
        <w:pStyle w:val="ListBullet"/>
        <w:spacing w:after="40"/>
      </w:pPr>
      <w:r>
        <w:t>La contingencia solo se usará para shocks documentados, no para cubrir planificación deficiente.</w:t>
      </w:r>
    </w:p>
    <w:p>
      <w:pPr>
        <w:pStyle w:val="ListBullet"/>
        <w:spacing w:after="40"/>
      </w:pPr>
      <w:r>
        <w:t>Las contribuciones públicas y comunitarias en especie se valorarán por separado para no inflar la financiación en efectivo.</w:t>
      </w:r>
    </w:p>
    <w:p>
      <w:pPr>
        <w:pStyle w:val="ListBullet"/>
        <w:spacing w:after="40"/>
      </w:pPr>
      <w:r>
        <w:t>Todo activo tendrá propietario, ubicación, responsable, plan de mantenimiento y destino de transferencia.</w:t>
      </w:r>
    </w:p>
    <w:p>
      <w:pPr>
        <w:pStyle w:val="Heading2"/>
      </w:pPr>
      <w:r>
        <w:t>11 4 Estrategia de financiación</w:t>
      </w:r>
    </w:p>
    <w:p>
      <w:r>
        <w:t>Se propone un fondo principal de cinco años con desembolsos anuales y una reserva flexible para crisis. La financiación debe combinar un donante ancla, cofinanciación pública progresiva y aportes de socios para agua, protección social o evaluación. Los acuerdos impedirán doble financiación y exigirán un único presupuesto consolidado. Desde 2029, cada woreda presentará una senda de absorción de costes recurrentes prioritarios.</w:t>
      </w:r>
    </w:p>
    <w:p>
      <w:pPr>
        <w:pStyle w:val="Heading1"/>
      </w:pPr>
      <w:r>
        <w:t>12 Riesgos salvaguardas y continuidad</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2520"/>
        <w:gridCol w:w="2520"/>
        <w:gridCol w:w="2520"/>
        <w:gridCol w:w="2520"/>
      </w:tblGrid>
      <w:tr>
        <w:trPr>
          <w:tblHeader w:val="true"/>
        </w:trPr>
        <w:tc>
          <w:tcPr>
            <w:tcW w:type="dxa" w:w="208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Riesgo</w:t>
            </w:r>
          </w:p>
        </w:tc>
        <w:tc>
          <w:tcPr>
            <w:tcW w:type="dxa" w:w="108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Probabilidad</w:t>
            </w:r>
          </w:p>
        </w:tc>
        <w:tc>
          <w:tcPr>
            <w:tcW w:type="dxa" w:w="108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Impacto</w:t>
            </w:r>
          </w:p>
        </w:tc>
        <w:tc>
          <w:tcPr>
            <w:tcW w:type="dxa" w:w="525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Respuesta y señal de activación</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Sequía, inundación o alza de precios</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Alta</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Alto</w:t>
            </w:r>
          </w:p>
        </w:tc>
        <w:tc>
          <w:tcPr>
            <w:tcW w:type="dxa" w:w="525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Vigilancia de precios y nutrición; activar apoyo temporal y reservas cuando empeoren umbrales acordados</w:t>
            </w:r>
          </w:p>
        </w:tc>
      </w:tr>
      <w:tr>
        <w:trPr>
          <w:cantSplit/>
        </w:trPr>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Inseguridad o acceso restringido</w:t>
            </w:r>
          </w:p>
        </w:tc>
        <w:tc>
          <w:tcPr>
            <w:tcW w:type="dxa" w:w="108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Media</w:t>
            </w:r>
          </w:p>
        </w:tc>
        <w:tc>
          <w:tcPr>
            <w:tcW w:type="dxa" w:w="108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Alto</w:t>
            </w:r>
          </w:p>
        </w:tc>
        <w:tc>
          <w:tcPr>
            <w:tcW w:type="dxa" w:w="525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Mapeo, aceptación comunitaria, rutas alternativas, suspensión segura y supervisión remota limitada</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Ruptura de suministros</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Alta</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Alto</w:t>
            </w:r>
          </w:p>
        </w:tc>
        <w:tc>
          <w:tcPr>
            <w:tcW w:type="dxa" w:w="525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Stock mínimo máximo, alerta temprana, redistribución y proveedores aprobados</w:t>
            </w:r>
          </w:p>
        </w:tc>
      </w:tr>
      <w:tr>
        <w:trPr>
          <w:cantSplit/>
        </w:trPr>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Rotación o sobrecarga de personal</w:t>
            </w:r>
          </w:p>
        </w:tc>
        <w:tc>
          <w:tcPr>
            <w:tcW w:type="dxa" w:w="108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Alta</w:t>
            </w:r>
          </w:p>
        </w:tc>
        <w:tc>
          <w:tcPr>
            <w:tcW w:type="dxa" w:w="108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Medio alto</w:t>
            </w:r>
          </w:p>
        </w:tc>
        <w:tc>
          <w:tcPr>
            <w:tcW w:type="dxa" w:w="525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Formación continua, equipos de respaldo, simplificación y revisión de carga</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Referencia sin capacidad receptora</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Media</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Alto</w:t>
            </w:r>
          </w:p>
        </w:tc>
        <w:tc>
          <w:tcPr>
            <w:tcW w:type="dxa" w:w="525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Acuerdos 24 horas, confirmación antes de traslado, alternativas y revisión de cada fallo</w:t>
            </w:r>
          </w:p>
        </w:tc>
      </w:tr>
      <w:tr>
        <w:trPr>
          <w:cantSplit/>
        </w:trPr>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Datos incompletos o duplicados</w:t>
            </w:r>
          </w:p>
        </w:tc>
        <w:tc>
          <w:tcPr>
            <w:tcW w:type="dxa" w:w="108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Alta</w:t>
            </w:r>
          </w:p>
        </w:tc>
        <w:tc>
          <w:tcPr>
            <w:tcW w:type="dxa" w:w="108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Medio</w:t>
            </w:r>
          </w:p>
        </w:tc>
        <w:tc>
          <w:tcPr>
            <w:tcW w:type="dxa" w:w="525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Identificador, conciliación, auditoría y eliminación de variables no usadas</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Cobros informales o fraude</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Media</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Alto</w:t>
            </w:r>
          </w:p>
        </w:tc>
        <w:tc>
          <w:tcPr>
            <w:tcW w:type="dxa" w:w="525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Información pública, separación de funciones, auditoría, quejas y sanción contractual</w:t>
            </w:r>
          </w:p>
        </w:tc>
      </w:tr>
      <w:tr>
        <w:trPr>
          <w:cantSplit/>
        </w:trPr>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Explotación abuso o violencia</w:t>
            </w:r>
          </w:p>
        </w:tc>
        <w:tc>
          <w:tcPr>
            <w:tcW w:type="dxa" w:w="108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Media</w:t>
            </w:r>
          </w:p>
        </w:tc>
        <w:tc>
          <w:tcPr>
            <w:tcW w:type="dxa" w:w="108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Muy alto</w:t>
            </w:r>
          </w:p>
        </w:tc>
        <w:tc>
          <w:tcPr>
            <w:tcW w:type="dxa" w:w="525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Código de conducta, selección segura, formación, canal confidencial y respuesta centrada en superviviente</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Dependencia financiera</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Media</w:t>
            </w:r>
          </w:p>
        </w:tc>
        <w:tc>
          <w:tcPr>
            <w:tcW w:type="dxa" w:w="108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Alto</w:t>
            </w:r>
          </w:p>
        </w:tc>
        <w:tc>
          <w:tcPr>
            <w:tcW w:type="dxa" w:w="525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Coste recurrente visible, transferencia anual y prohibición de crear puestos sin salida</w:t>
            </w:r>
          </w:p>
        </w:tc>
      </w:tr>
    </w:tbl>
    <w:p>
      <w:pPr>
        <w:spacing w:after="40"/>
      </w:pPr>
    </w:p>
    <w:p>
      <w:pPr>
        <w:pStyle w:val="Heading2"/>
      </w:pPr>
      <w:r>
        <w:t>12 1 Salvaguarda clínica y ética</w:t>
      </w:r>
    </w:p>
    <w:p>
      <w:pPr>
        <w:pStyle w:val="ListBullet"/>
        <w:spacing w:after="40"/>
      </w:pPr>
      <w:r>
        <w:t>Aplicar protocolos nacionales vigentes y control de versiones; las decisiones clínicas corresponden a personal autorizado.</w:t>
      </w:r>
    </w:p>
    <w:p>
      <w:pPr>
        <w:pStyle w:val="ListBullet"/>
        <w:spacing w:after="40"/>
      </w:pPr>
      <w:r>
        <w:t>Obtener consentimiento informado para atención, fotografías, investigación y uso de datos según corresponda.</w:t>
      </w:r>
    </w:p>
    <w:p>
      <w:pPr>
        <w:pStyle w:val="ListBullet"/>
        <w:spacing w:after="40"/>
      </w:pPr>
      <w:r>
        <w:t>Prohibir incentivos que presionen a aceptar anticoncepción, parto institucional, pruebas o participación en estudios.</w:t>
      </w:r>
    </w:p>
    <w:p>
      <w:pPr>
        <w:pStyle w:val="ListBullet"/>
        <w:spacing w:after="40"/>
      </w:pPr>
      <w:r>
        <w:t>Mantener una ruta confidencial para violencia de género y protección infantil, sin investigar por cuenta propia ni exponer a la persona.</w:t>
      </w:r>
    </w:p>
    <w:p>
      <w:pPr>
        <w:pStyle w:val="ListBullet"/>
        <w:spacing w:after="40"/>
      </w:pPr>
      <w:r>
        <w:t>Notificar eventos adversos graves, muertes y riesgos de protección mediante canales definidos, con revisión y acciones correctivas.</w:t>
      </w:r>
    </w:p>
    <w:p>
      <w:pPr>
        <w:pStyle w:val="ListBullet"/>
        <w:spacing w:after="40"/>
      </w:pPr>
      <w:r>
        <w:t>Evaluar accesibilidad física, comunicacional y económica para mujeres y niños con discapacidad.</w:t>
      </w:r>
    </w:p>
    <w:p>
      <w:pPr>
        <w:pStyle w:val="Heading2"/>
      </w:pPr>
      <w:r>
        <w:t>12 2 Continuidad operativa</w:t>
      </w:r>
    </w:p>
    <w:p>
      <w:r>
        <w:t>Cada nodo mantendrá un plan para 30 días de interrupción que priorice urgencias obstétricas y neonatales, tratamiento de malnutrición, vacunas y medicamentos sensibles, contacto con casos de alto riesgo, agua segura y comunicación. El plan definirá existencias, personal de respaldo, rutas, proveedores, combustible, energía, custodia de datos y criterios de suspensión. Se probará dos veces al año.</w:t>
      </w:r>
    </w:p>
    <w:p>
      <w:pPr>
        <w:pStyle w:val="Heading1"/>
      </w:pPr>
      <w:r>
        <w:t>13 Sostenibilidad y escala</w:t>
      </w:r>
    </w:p>
    <w:p>
      <w:pPr>
        <w:pStyle w:val="Heading2"/>
      </w:pPr>
      <w:r>
        <w:t>13 1 Transferencia desde el primer año</w:t>
      </w:r>
    </w:p>
    <w:p>
      <w:pPr>
        <w:pStyle w:val="ListBullet"/>
        <w:spacing w:after="40"/>
      </w:pPr>
      <w:r>
        <w:t>Todos los planes de trabajo serán conjuntos con los woredas y aparecerán en sus ciclos de revisión.</w:t>
      </w:r>
    </w:p>
    <w:p>
      <w:pPr>
        <w:pStyle w:val="ListBullet"/>
        <w:spacing w:after="40"/>
      </w:pPr>
      <w:r>
        <w:t>Los formadores y mentores locales asumirán progresivamente observación, retroalimentación y certificación de competencias.</w:t>
      </w:r>
    </w:p>
    <w:p>
      <w:pPr>
        <w:pStyle w:val="ListBullet"/>
        <w:spacing w:after="40"/>
      </w:pPr>
      <w:r>
        <w:t>Se priorizarán equipos reparables, consumibles disponibles y contratos de mantenimiento locales.</w:t>
      </w:r>
    </w:p>
    <w:p>
      <w:pPr>
        <w:pStyle w:val="ListBullet"/>
        <w:spacing w:after="40"/>
      </w:pPr>
      <w:r>
        <w:t>Los indicadores se integrarán en HMIS o eCHIS; los tableros paralelos se retirarán al final.</w:t>
      </w:r>
    </w:p>
    <w:p>
      <w:pPr>
        <w:pStyle w:val="ListBullet"/>
        <w:spacing w:after="40"/>
      </w:pPr>
      <w:r>
        <w:t>El presupuesto separará inversión, costes recurrentes esenciales y actividades que deben terminar.</w:t>
      </w:r>
    </w:p>
    <w:p>
      <w:pPr>
        <w:pStyle w:val="ListBullet"/>
        <w:spacing w:after="40"/>
      </w:pPr>
      <w:r>
        <w:t>La transferencia se firmará por función y activo, no mediante una declaración general al cierre.</w:t>
      </w:r>
    </w:p>
    <w:p>
      <w:pPr>
        <w:pStyle w:val="Heading2"/>
      </w:pPr>
      <w:r>
        <w:t>13 2 Paquete de réplica</w:t>
      </w:r>
    </w:p>
    <w:p>
      <w:r>
        <w:t>Al finalizar el año 4, el programa producirá un paquete en Afaan Oromo e inglés con protocolos aprobados, materiales de consejería, currículo por competencias, tablero de indicadores, especificaciones de equipamiento, costes unitarios, modelo de gobernanza y lecciones de implementación. La expansión se recomendará solo si muestra beneficio, equidad, seguridad, coste asumible y capacidad pública.</w:t>
      </w:r>
    </w:p>
    <w:p>
      <w:pPr>
        <w:pStyle w:val="Heading2"/>
      </w:pPr>
      <w:r>
        <w:t>13 3 Criterios de escala</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5040"/>
        <w:gridCol w:w="5040"/>
      </w:tblGrid>
      <w:tr>
        <w:trPr>
          <w:tblHeader w:val="true"/>
        </w:trPr>
        <w:tc>
          <w:tcPr>
            <w:tcW w:type="dxa" w:w="208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Criterio</w:t>
            </w:r>
          </w:p>
        </w:tc>
        <w:tc>
          <w:tcPr>
            <w:tcW w:type="dxa" w:w="748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Umbral orientativo</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Efectividad</w:t>
            </w:r>
          </w:p>
        </w:tc>
        <w:tc>
          <w:tcPr>
            <w:tcW w:type="dxa" w:w="74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Mejora significativa en al menos cuatro resultados prioritarios sin deterioro en seguridad</w:t>
            </w:r>
          </w:p>
        </w:tc>
      </w:tr>
      <w:tr>
        <w:trPr>
          <w:cantSplit/>
        </w:trPr>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Equidad</w:t>
            </w:r>
          </w:p>
        </w:tc>
        <w:tc>
          <w:tcPr>
            <w:tcW w:type="dxa" w:w="74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La brecha por distancia, riqueza, edad o discapacidad se reduce o no aumenta</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Calidad</w:t>
            </w:r>
          </w:p>
        </w:tc>
        <w:tc>
          <w:tcPr>
            <w:tcW w:type="dxa" w:w="74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Competencias y disponibilidad de productos trazadores se mantienen durante cuatro trimestres</w:t>
            </w:r>
          </w:p>
        </w:tc>
      </w:tr>
      <w:tr>
        <w:trPr>
          <w:cantSplit/>
        </w:trPr>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Coste</w:t>
            </w:r>
          </w:p>
        </w:tc>
        <w:tc>
          <w:tcPr>
            <w:tcW w:type="dxa" w:w="74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Coste recurrente por díada compatible con presupuesto público y financiación realista</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Aceptación</w:t>
            </w:r>
          </w:p>
        </w:tc>
        <w:tc>
          <w:tcPr>
            <w:tcW w:type="dxa" w:w="74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7"/>
              </w:rPr>
              <w:t>Experiencia positiva y mecanismo de quejas confiable</w:t>
            </w:r>
          </w:p>
        </w:tc>
      </w:tr>
      <w:tr>
        <w:trPr>
          <w:cantSplit/>
        </w:trPr>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Capacidad</w:t>
            </w:r>
          </w:p>
        </w:tc>
        <w:tc>
          <w:tcPr>
            <w:tcW w:type="dxa" w:w="74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7"/>
              </w:rPr>
              <w:t>Responsables públicos, supervisión, datos y mantenimiento disponibles</w:t>
            </w:r>
          </w:p>
        </w:tc>
      </w:tr>
    </w:tbl>
    <w:p>
      <w:pPr>
        <w:spacing w:after="40"/>
      </w:pPr>
    </w:p>
    <w:p>
      <w:pPr>
        <w:pStyle w:val="Heading1"/>
      </w:pPr>
      <w:r>
        <w:t>14 Plan de los primeros 100 días</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151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Periodo</w:t>
            </w:r>
          </w:p>
        </w:tc>
        <w:tc>
          <w:tcPr>
            <w:tcW w:type="dxa" w:w="604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Acciones obligatorias</w:t>
            </w:r>
          </w:p>
        </w:tc>
        <w:tc>
          <w:tcPr>
            <w:tcW w:type="dxa" w:w="201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Entregable</w:t>
            </w:r>
          </w:p>
        </w:tc>
      </w:tr>
      <w:tr>
        <w:trPr>
          <w:cantSplit/>
        </w:trPr>
        <w:tc>
          <w:tcPr>
            <w:tcW w:type="dxa" w:w="151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Días 1 a 15</w:t>
            </w:r>
          </w:p>
        </w:tc>
        <w:tc>
          <w:tcPr>
            <w:tcW w:type="dxa" w:w="604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Nombrar patrocinadores y dirección; confirmar autoridad; mapear socios y conflictos de interés; abrir registro de riesgos</w:t>
            </w:r>
          </w:p>
        </w:tc>
        <w:tc>
          <w:tcPr>
            <w:tcW w:type="dxa" w:w="20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Acta de inicio y gobernanza provisional</w:t>
            </w:r>
          </w:p>
        </w:tc>
      </w:tr>
      <w:tr>
        <w:trPr>
          <w:cantSplit/>
        </w:trPr>
        <w:tc>
          <w:tcPr>
            <w:tcW w:type="dxa" w:w="151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Días 16 a 30</w:t>
            </w:r>
          </w:p>
        </w:tc>
        <w:tc>
          <w:tcPr>
            <w:tcW w:type="dxa" w:w="604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Firmar acuerdos marco; validar límites; aprobar salvaguardas, quejas y seguridad; inventariar servicios y activos</w:t>
            </w:r>
          </w:p>
        </w:tc>
        <w:tc>
          <w:tcPr>
            <w:tcW w:type="dxa" w:w="201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Mapa inicial, acuerdos y puerta de decisión 1</w:t>
            </w:r>
          </w:p>
        </w:tc>
      </w:tr>
      <w:tr>
        <w:trPr>
          <w:cantSplit/>
        </w:trPr>
        <w:tc>
          <w:tcPr>
            <w:tcW w:type="dxa" w:w="151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Días 31 a 50</w:t>
            </w:r>
          </w:p>
        </w:tc>
        <w:tc>
          <w:tcPr>
            <w:tcW w:type="dxa" w:w="604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Censo rápido de establecimientos y población; revisión de expedientes; cadena de suministro; rutas y tiempos de referencia</w:t>
            </w:r>
          </w:p>
        </w:tc>
        <w:tc>
          <w:tcPr>
            <w:tcW w:type="dxa" w:w="20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Diagnóstico de preparación de red</w:t>
            </w:r>
          </w:p>
        </w:tc>
      </w:tr>
      <w:tr>
        <w:trPr>
          <w:cantSplit/>
        </w:trPr>
        <w:tc>
          <w:tcPr>
            <w:tcW w:type="dxa" w:w="151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Días 51 a 70</w:t>
            </w:r>
          </w:p>
        </w:tc>
        <w:tc>
          <w:tcPr>
            <w:tcW w:type="dxa" w:w="604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Encuesta de base; co diseño con mujeres, HEW, padres, adolescentes y discapacidad; fijar paquete mínimo y traducciones</w:t>
            </w:r>
          </w:p>
        </w:tc>
        <w:tc>
          <w:tcPr>
            <w:tcW w:type="dxa" w:w="201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Línea de base preliminar y diseño adaptado</w:t>
            </w:r>
          </w:p>
        </w:tc>
      </w:tr>
      <w:tr>
        <w:trPr>
          <w:cantSplit/>
        </w:trPr>
        <w:tc>
          <w:tcPr>
            <w:tcW w:type="dxa" w:w="151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Días 71 a 85</w:t>
            </w:r>
          </w:p>
        </w:tc>
        <w:tc>
          <w:tcPr>
            <w:tcW w:type="dxa" w:w="604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Contratar equipo esencial; compras críticas; formar y evaluar primer grupo; probar registro y tablero</w:t>
            </w:r>
          </w:p>
        </w:tc>
        <w:tc>
          <w:tcPr>
            <w:tcW w:type="dxa" w:w="201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Equipo operativo, insumos y piloto</w:t>
            </w:r>
          </w:p>
        </w:tc>
      </w:tr>
      <w:tr>
        <w:trPr>
          <w:cantSplit/>
        </w:trPr>
        <w:tc>
          <w:tcPr>
            <w:tcW w:type="dxa" w:w="151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Días 86 a 100</w:t>
            </w:r>
          </w:p>
        </w:tc>
        <w:tc>
          <w:tcPr>
            <w:tcW w:type="dxa" w:w="604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Simular emergencias; probar referencias; revisar presupuesto y metas; publicar información comunitaria</w:t>
            </w:r>
          </w:p>
        </w:tc>
        <w:tc>
          <w:tcPr>
            <w:tcW w:type="dxa" w:w="201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Plan definitivo y puerta de decisión 2</w:t>
            </w:r>
          </w:p>
        </w:tc>
      </w:tr>
    </w:tbl>
    <w:p>
      <w:pPr>
        <w:spacing w:after="40"/>
      </w:pPr>
    </w:p>
    <w:p>
      <w:pPr>
        <w:pStyle w:val="Heading2"/>
      </w:pPr>
      <w:r>
        <w:t>14 1 Productos del día 100</w:t>
      </w:r>
    </w:p>
    <w:p>
      <w:pPr>
        <w:pStyle w:val="ListBullet"/>
        <w:spacing w:after="40"/>
      </w:pPr>
      <w:r>
        <w:t>Convenios firmados y mapa de gobernanza con responsables nominales.</w:t>
      </w:r>
    </w:p>
    <w:p>
      <w:pPr>
        <w:pStyle w:val="ListBullet"/>
        <w:spacing w:after="40"/>
      </w:pPr>
      <w:r>
        <w:t>Listado validado de kebeles, establecimientos, población y cohortes prioritarias.</w:t>
      </w:r>
    </w:p>
    <w:p>
      <w:pPr>
        <w:pStyle w:val="ListBullet"/>
        <w:spacing w:after="40"/>
      </w:pPr>
      <w:r>
        <w:t>Línea de base con intervalos de confianza, sesgos y protocolo público.</w:t>
      </w:r>
    </w:p>
    <w:p>
      <w:pPr>
        <w:pStyle w:val="ListBullet"/>
        <w:spacing w:after="40"/>
      </w:pPr>
      <w:r>
        <w:t>Presupuesto revisado con costes unitarios y plan de compras de 12 meses.</w:t>
      </w:r>
    </w:p>
    <w:p>
      <w:pPr>
        <w:pStyle w:val="ListBullet"/>
        <w:spacing w:after="40"/>
      </w:pPr>
      <w:r>
        <w:t>Rutas de referencia probadas de día y de noche.</w:t>
      </w:r>
    </w:p>
    <w:p>
      <w:pPr>
        <w:pStyle w:val="ListBullet"/>
        <w:spacing w:after="40"/>
      </w:pPr>
      <w:r>
        <w:t>Personal evaluado, plan de mentoría y medidas inmediatas de seguridad clínica.</w:t>
      </w:r>
    </w:p>
    <w:p>
      <w:pPr>
        <w:pStyle w:val="ListBullet"/>
        <w:spacing w:after="40"/>
      </w:pPr>
      <w:r>
        <w:t>Mecanismo de quejas operativo y comunicado en Afaan Oromo.</w:t>
      </w:r>
    </w:p>
    <w:p>
      <w:pPr>
        <w:pStyle w:val="ListBullet"/>
        <w:spacing w:after="40"/>
      </w:pPr>
      <w:r>
        <w:t>Tablero mínimo con un informe mensual de prueba.</w:t>
      </w:r>
    </w:p>
    <w:p>
      <w:pPr>
        <w:pStyle w:val="ListBullet"/>
        <w:spacing w:after="40"/>
      </w:pPr>
      <w:r>
        <w:t>Recomendación formal de avanzar, corregir o detener cada zona.</w:t>
      </w:r>
    </w:p>
    <w:p>
      <w:pPr>
        <w:pStyle w:val="Heading1"/>
      </w:pPr>
      <w:r>
        <w:t>15 Decisiones requeridas</w:t>
      </w:r>
    </w:p>
    <w:p>
      <w:pPr>
        <w:pStyle w:val="ListNumber"/>
        <w:spacing w:after="40"/>
      </w:pPr>
      <w:r>
        <w:t>Aprobar la fase de arranque de 100 días con un presupuesto máximo inicial de 650.000 euros incluido dentro del techo total.</w:t>
      </w:r>
    </w:p>
    <w:p>
      <w:pPr>
        <w:pStyle w:val="ListNumber"/>
        <w:spacing w:after="40"/>
      </w:pPr>
      <w:r>
        <w:t>Designar una institución líder y un patrocinador público por nodo antes de la firma de contratos.</w:t>
      </w:r>
    </w:p>
    <w:p>
      <w:pPr>
        <w:pStyle w:val="ListNumber"/>
        <w:spacing w:after="40"/>
      </w:pPr>
      <w:r>
        <w:t>Autorizar la negociación de un convenio único de programa con anexos de datos, activos, referencia, salvaguardas y auditoría.</w:t>
      </w:r>
    </w:p>
    <w:p>
      <w:pPr>
        <w:pStyle w:val="ListNumber"/>
        <w:spacing w:after="40"/>
      </w:pPr>
      <w:r>
        <w:t>Confirmar que el techo de 8,0 millones de euros es un escenario de planificación y que la aprobación del despliegue completo depende de la línea de base.</w:t>
      </w:r>
    </w:p>
    <w:p>
      <w:pPr>
        <w:pStyle w:val="ListNumber"/>
        <w:spacing w:after="40"/>
      </w:pPr>
      <w:r>
        <w:t>Exigir evaluación independiente, publicación de resultados agregados y una decisión explícita de escala en 2031.</w:t>
      </w:r>
    </w:p>
    <w:p>
      <w:pPr>
        <w:pStyle w:val="Heading1"/>
      </w:pPr>
      <w:r>
        <w:t>Anexo A Ficha operativa por contacto</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180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Contacto</w:t>
            </w:r>
          </w:p>
        </w:tc>
        <w:tc>
          <w:tcPr>
            <w:tcW w:type="dxa" w:w="547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Acciones que no pueden faltar</w:t>
            </w:r>
          </w:p>
        </w:tc>
        <w:tc>
          <w:tcPr>
            <w:tcW w:type="dxa" w:w="2376"/>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Alarma y referencia</w:t>
            </w:r>
          </w:p>
        </w:tc>
      </w:tr>
      <w:tr>
        <w:trPr>
          <w:cantSplit/>
        </w:trPr>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Primer prenatal</w:t>
            </w:r>
          </w:p>
        </w:tc>
        <w:tc>
          <w:tcPr>
            <w:tcW w:type="dxa" w:w="54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Confirmar gestación, edad gestacional, antecedentes, presión, anemia según norma, nutrición, salud mental, vacunación y plan</w:t>
            </w:r>
          </w:p>
        </w:tc>
        <w:tc>
          <w:tcPr>
            <w:tcW w:type="dxa" w:w="237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Sangrado, hipertensión, dolor intenso, fiebre, riesgo psicosocial o condición clínica</w:t>
            </w:r>
          </w:p>
        </w:tc>
      </w:tr>
      <w:tr>
        <w:trPr>
          <w:cantSplit/>
        </w:trPr>
        <w:tc>
          <w:tcPr>
            <w:tcW w:type="dxa" w:w="180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Prenatales siguientes</w:t>
            </w:r>
          </w:p>
        </w:tc>
        <w:tc>
          <w:tcPr>
            <w:tcW w:type="dxa" w:w="54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Reevaluar riesgo, adherencia, crecimiento fetal, signos, plan de parto y transporte</w:t>
            </w:r>
          </w:p>
        </w:tc>
        <w:tc>
          <w:tcPr>
            <w:tcW w:type="dxa" w:w="237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Cambio de riesgo, disminución de movimientos, síntomas o falta de capacidad local</w:t>
            </w:r>
          </w:p>
        </w:tc>
      </w:tr>
      <w:tr>
        <w:trPr>
          <w:cantSplit/>
        </w:trPr>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Parto y primera hora</w:t>
            </w:r>
          </w:p>
        </w:tc>
        <w:tc>
          <w:tcPr>
            <w:tcW w:type="dxa" w:w="54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Atención respetuosa, prevención y manejo de complicaciones, reanimación, calor, piel con piel y lactancia</w:t>
            </w:r>
          </w:p>
        </w:tc>
        <w:tc>
          <w:tcPr>
            <w:tcW w:type="dxa" w:w="237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Complicación materna o neonatal, prematuridad, bajo peso o dificultad de alimentación</w:t>
            </w:r>
          </w:p>
        </w:tc>
      </w:tr>
      <w:tr>
        <w:trPr>
          <w:cantSplit/>
        </w:trPr>
        <w:tc>
          <w:tcPr>
            <w:tcW w:type="dxa" w:w="180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Posnatal 48 horas</w:t>
            </w:r>
          </w:p>
        </w:tc>
        <w:tc>
          <w:tcPr>
            <w:tcW w:type="dxa" w:w="54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Sangrado, infección, presión si corresponde, ánimo, temperatura, color, respiración, cordón y alimentación</w:t>
            </w:r>
          </w:p>
        </w:tc>
        <w:tc>
          <w:tcPr>
            <w:tcW w:type="dxa" w:w="237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Signo de peligro materno o neonatal y cualquier preocupación grave del cuidador</w:t>
            </w:r>
          </w:p>
        </w:tc>
      </w:tr>
      <w:tr>
        <w:trPr>
          <w:cantSplit/>
        </w:trPr>
        <w:tc>
          <w:tcPr>
            <w:tcW w:type="dxa" w:w="180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0 a 5 meses</w:t>
            </w:r>
          </w:p>
        </w:tc>
        <w:tc>
          <w:tcPr>
            <w:tcW w:type="dxa" w:w="54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Lactancia, crecimiento, vacunas, enfermedad, desarrollo, cuidado responsivo y seguridad</w:t>
            </w:r>
          </w:p>
        </w:tc>
        <w:tc>
          <w:tcPr>
            <w:tcW w:type="dxa" w:w="2376"/>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Pérdida de peso, edema, fiebre, dificultad respiratoria, letargo o alimentación deficiente</w:t>
            </w:r>
          </w:p>
        </w:tc>
      </w:tr>
      <w:tr>
        <w:trPr>
          <w:cantSplit/>
        </w:trPr>
        <w:tc>
          <w:tcPr>
            <w:tcW w:type="dxa" w:w="180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6 a 23 meses</w:t>
            </w:r>
          </w:p>
        </w:tc>
        <w:tc>
          <w:tcPr>
            <w:tcW w:type="dxa" w:w="54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Dieta, frecuencia, textura, higiene, antropometría, vacunas, desarrollo, WASH y protección social</w:t>
            </w:r>
          </w:p>
        </w:tc>
        <w:tc>
          <w:tcPr>
            <w:tcW w:type="dxa" w:w="2376"/>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Malnutrición, regresión, enfermedad persistente, discapacidad no atendida o riesgo de protección</w:t>
            </w:r>
          </w:p>
        </w:tc>
      </w:tr>
    </w:tbl>
    <w:p>
      <w:pPr>
        <w:spacing w:after="40"/>
      </w:pPr>
    </w:p>
    <w:p>
      <w:pPr>
        <w:pStyle w:val="Heading1"/>
      </w:pPr>
      <w:r>
        <w:t>Anexo B Definiciones de indicadores prioritarios</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230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Indicador</w:t>
            </w:r>
          </w:p>
        </w:tc>
        <w:tc>
          <w:tcPr>
            <w:tcW w:type="dxa" w:w="568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Definición operativa</w:t>
            </w:r>
          </w:p>
        </w:tc>
        <w:tc>
          <w:tcPr>
            <w:tcW w:type="dxa" w:w="172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Desagregación</w:t>
            </w:r>
          </w:p>
        </w:tc>
      </w:tr>
      <w:tr>
        <w:trPr>
          <w:cantSplit/>
        </w:trPr>
        <w:tc>
          <w:tcPr>
            <w:tcW w:type="dxa" w:w="23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Primer contacto prenatal temprano</w:t>
            </w:r>
          </w:p>
        </w:tc>
        <w:tc>
          <w:tcPr>
            <w:tcW w:type="dxa" w:w="56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Gestantes con primer contacto documentado antes de completar 12 semanas dividido por gestantes registradas con edad gestacional conocida</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Nodo, kebele, edad, discapacidad y distancia</w:t>
            </w:r>
          </w:p>
        </w:tc>
      </w:tr>
      <w:tr>
        <w:trPr>
          <w:cantSplit/>
        </w:trPr>
        <w:tc>
          <w:tcPr>
            <w:tcW w:type="dxa" w:w="23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Ocho contactos de calidad</w:t>
            </w:r>
          </w:p>
        </w:tc>
        <w:tc>
          <w:tcPr>
            <w:tcW w:type="dxa" w:w="56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Gestantes que completan al menos ocho contactos y reciben el contenido mínimo definido, dividido por nacimientos de la cohorte elegible</w:t>
            </w:r>
          </w:p>
        </w:tc>
        <w:tc>
          <w:tcPr>
            <w:tcW w:type="dxa" w:w="172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Nodo, edad, riesgo y quintil de distancia</w:t>
            </w:r>
          </w:p>
        </w:tc>
      </w:tr>
      <w:tr>
        <w:trPr>
          <w:cantSplit/>
        </w:trPr>
        <w:tc>
          <w:tcPr>
            <w:tcW w:type="dxa" w:w="23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Control posnatal en 48 horas</w:t>
            </w:r>
          </w:p>
        </w:tc>
        <w:tc>
          <w:tcPr>
            <w:tcW w:type="dxa" w:w="56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Madres y recién nacidos evaluados por personal competente dentro de 48 horas del parto, con contenido mínimo registrado</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Lugar del parto, riesgo y distancia</w:t>
            </w:r>
          </w:p>
        </w:tc>
      </w:tr>
      <w:tr>
        <w:trPr>
          <w:cantSplit/>
        </w:trPr>
        <w:tc>
          <w:tcPr>
            <w:tcW w:type="dxa" w:w="23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Lactancia exclusiva</w:t>
            </w:r>
          </w:p>
        </w:tc>
        <w:tc>
          <w:tcPr>
            <w:tcW w:type="dxa" w:w="56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Niños de 0 a 5 meses que recibieron solo leche materna durante el día anterior, salvo medicamentos o solución de rehidratación según definición OMS</w:t>
            </w:r>
          </w:p>
        </w:tc>
        <w:tc>
          <w:tcPr>
            <w:tcW w:type="dxa" w:w="172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Edad mensual, sexo, nodo y vulnerabilidad</w:t>
            </w:r>
          </w:p>
        </w:tc>
      </w:tr>
      <w:tr>
        <w:trPr>
          <w:cantSplit/>
        </w:trPr>
        <w:tc>
          <w:tcPr>
            <w:tcW w:type="dxa" w:w="23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Dieta mínima diversa</w:t>
            </w:r>
          </w:p>
        </w:tc>
        <w:tc>
          <w:tcPr>
            <w:tcW w:type="dxa" w:w="56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Niños de 6 a 23 meses que consumieron alimentos de al menos cinco de ocho grupos durante el día anterior según definición OMS UNICEF</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Edad, sexo, nodo y seguridad alimentaria</w:t>
            </w:r>
          </w:p>
        </w:tc>
      </w:tr>
      <w:tr>
        <w:trPr>
          <w:cantSplit/>
        </w:trPr>
        <w:tc>
          <w:tcPr>
            <w:tcW w:type="dxa" w:w="23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Cero dosis</w:t>
            </w:r>
          </w:p>
        </w:tc>
        <w:tc>
          <w:tcPr>
            <w:tcW w:type="dxa" w:w="56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Niños elegibles que no han recibido la primera dosis trazadora definida por el programa nacional</w:t>
            </w:r>
          </w:p>
        </w:tc>
        <w:tc>
          <w:tcPr>
            <w:tcW w:type="dxa" w:w="172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Edad, kebele, sexo, distancia y movilidad</w:t>
            </w:r>
          </w:p>
        </w:tc>
      </w:tr>
      <w:tr>
        <w:trPr>
          <w:cantSplit/>
        </w:trPr>
        <w:tc>
          <w:tcPr>
            <w:tcW w:type="dxa" w:w="230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Referencia completada</w:t>
            </w:r>
          </w:p>
        </w:tc>
        <w:tc>
          <w:tcPr>
            <w:tcW w:type="dxa" w:w="56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Referencias que llegan al establecimiento receptor y reciben evaluación dentro del plazo acordado, dividido por referencias emitidas</w:t>
            </w:r>
          </w:p>
        </w:tc>
        <w:tc>
          <w:tcPr>
            <w:tcW w:type="dxa" w:w="172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4"/>
              </w:rPr>
              <w:t>Urgencia, origen, destino, día noche y transporte</w:t>
            </w:r>
          </w:p>
        </w:tc>
      </w:tr>
      <w:tr>
        <w:trPr>
          <w:cantSplit/>
        </w:trPr>
        <w:tc>
          <w:tcPr>
            <w:tcW w:type="dxa" w:w="230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Disponibilidad de productos</w:t>
            </w:r>
          </w:p>
        </w:tc>
        <w:tc>
          <w:tcPr>
            <w:tcW w:type="dxa" w:w="56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Establecimientos sin ruptura mayor de siete días de cada producto trazador durante el mes</w:t>
            </w:r>
          </w:p>
        </w:tc>
        <w:tc>
          <w:tcPr>
            <w:tcW w:type="dxa" w:w="172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4"/>
              </w:rPr>
              <w:t>Producto, nivel y nodo</w:t>
            </w:r>
          </w:p>
        </w:tc>
      </w:tr>
    </w:tbl>
    <w:p>
      <w:pPr>
        <w:spacing w:after="40"/>
      </w:pPr>
    </w:p>
    <w:p>
      <w:pPr>
        <w:pStyle w:val="Heading1"/>
      </w:pPr>
      <w:r>
        <w:t>Anexo C Paquete de línea de base</w:t>
      </w:r>
    </w:p>
    <w:p>
      <w:pPr>
        <w:pStyle w:val="ListBullet"/>
        <w:spacing w:after="40"/>
      </w:pPr>
      <w:r>
        <w:t>Encuesta de hogares con módulos de embarazo, parto, posnatal, alimentación, inmunización, enfermedad, desarrollo, WASH, gasto, seguridad alimentaria, experiencia y acceso.</w:t>
      </w:r>
    </w:p>
    <w:p>
      <w:pPr>
        <w:pStyle w:val="ListBullet"/>
        <w:spacing w:after="40"/>
      </w:pPr>
      <w:r>
        <w:t>Antropometría con estandarización de equipos y observadores, repetición de una submuestra y reglas de plausibilidad.</w:t>
      </w:r>
    </w:p>
    <w:p>
      <w:pPr>
        <w:pStyle w:val="ListBullet"/>
        <w:spacing w:after="40"/>
      </w:pPr>
      <w:r>
        <w:t>Censo y evaluación de preparación de todos los establecimientos incluidos.</w:t>
      </w:r>
    </w:p>
    <w:p>
      <w:pPr>
        <w:pStyle w:val="ListBullet"/>
        <w:spacing w:after="40"/>
      </w:pPr>
      <w:r>
        <w:t>Auditoría de una muestra de expedientes, referencias, muertes y tratamientos nutricionales.</w:t>
      </w:r>
    </w:p>
    <w:p>
      <w:pPr>
        <w:pStyle w:val="ListBullet"/>
        <w:spacing w:after="40"/>
      </w:pPr>
      <w:r>
        <w:t>Estudio cualitativo con mujeres, adolescentes, padres, abuelas, HEW, personas con discapacidad, líderes y personal clínico.</w:t>
      </w:r>
    </w:p>
    <w:p>
      <w:pPr>
        <w:pStyle w:val="ListBullet"/>
        <w:spacing w:after="40"/>
      </w:pPr>
      <w:r>
        <w:t>Mapa de tiempo de viaje en estación seca y lluviosa, sin publicar ubicaciones sensibles de hogares.</w:t>
      </w:r>
    </w:p>
    <w:p>
      <w:pPr>
        <w:pStyle w:val="ListBullet"/>
        <w:spacing w:after="40"/>
      </w:pPr>
      <w:r>
        <w:t>Análisis de mercado de alimentos, transporte, equipos y suministros.</w:t>
      </w:r>
    </w:p>
    <w:p>
      <w:pPr>
        <w:pStyle w:val="ListBullet"/>
        <w:spacing w:after="40"/>
      </w:pPr>
      <w:r>
        <w:t>Evaluación de protección, género, conflicto, privacidad y riesgo ambiental.</w:t>
      </w:r>
    </w:p>
    <w:p>
      <w:r>
        <w:t>El protocolo, consentimiento, diccionario de datos y plan de análisis se aprobarán antes de recolectar información. La investigación que exceda mejora rutinaria de calidad requerirá revisión ética conforme a la normativa aplicable.</w:t>
      </w:r>
    </w:p>
    <w:p>
      <w:pPr>
        <w:pStyle w:val="Heading1"/>
      </w:pPr>
      <w:r>
        <w:t>Anexo D Estándares mínimos de establecimiento</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3360"/>
        <w:gridCol w:w="3360"/>
        <w:gridCol w:w="3360"/>
      </w:tblGrid>
      <w:tr>
        <w:trPr>
          <w:tblHeader w:val="true"/>
        </w:trPr>
        <w:tc>
          <w:tcPr>
            <w:tcW w:type="dxa" w:w="1584"/>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Dominio</w:t>
            </w:r>
          </w:p>
        </w:tc>
        <w:tc>
          <w:tcPr>
            <w:tcW w:type="dxa" w:w="403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Estándar de entrada</w:t>
            </w:r>
          </w:p>
        </w:tc>
        <w:tc>
          <w:tcPr>
            <w:tcW w:type="dxa" w:w="403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Estándar antes de expandir</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Personal</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Responsable identificado y cobertura básica</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Turnos, respaldo y competencias críticas verificadas</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Referencia</w:t>
            </w:r>
          </w:p>
        </w:tc>
        <w:tc>
          <w:tcPr>
            <w:tcW w:type="dxa" w:w="40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Teléfono y destino conocidos</w:t>
            </w:r>
          </w:p>
        </w:tc>
        <w:tc>
          <w:tcPr>
            <w:tcW w:type="dxa" w:w="40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Comunicación 24 horas, transporte y contrarreferencia probados</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Suministros</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Inventario y brechas documentadas</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Productos trazadores disponibles y sistema de reposición activo</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Equipos</w:t>
            </w:r>
          </w:p>
        </w:tc>
        <w:tc>
          <w:tcPr>
            <w:tcW w:type="dxa" w:w="40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Inventario funcional</w:t>
            </w:r>
          </w:p>
        </w:tc>
        <w:tc>
          <w:tcPr>
            <w:tcW w:type="dxa" w:w="40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Mantenimiento, calibración y responsable asignado</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WASH</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Agua y limpieza evaluadas</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Agua, higiene de manos, baños y residuos seguros</w:t>
            </w:r>
          </w:p>
        </w:tc>
      </w:tr>
      <w:tr>
        <w:trPr>
          <w:cantSplit/>
        </w:trPr>
        <w:tc>
          <w:tcPr>
            <w:tcW w:type="dxa" w:w="1584"/>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Datos</w:t>
            </w:r>
          </w:p>
        </w:tc>
        <w:tc>
          <w:tcPr>
            <w:tcW w:type="dxa" w:w="40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Registros accesibles</w:t>
            </w:r>
          </w:p>
        </w:tc>
        <w:tc>
          <w:tcPr>
            <w:tcW w:type="dxa" w:w="403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Registro nominal, reporte oportuno y verificación trimestral</w:t>
            </w:r>
          </w:p>
        </w:tc>
      </w:tr>
      <w:tr>
        <w:trPr>
          <w:cantSplit/>
        </w:trPr>
        <w:tc>
          <w:tcPr>
            <w:tcW w:type="dxa" w:w="1584"/>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Protección</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Código de conducta firmado</w:t>
            </w:r>
          </w:p>
        </w:tc>
        <w:tc>
          <w:tcPr>
            <w:tcW w:type="dxa" w:w="403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Canal de quejas, privacidad y ruta de respuesta operativos</w:t>
            </w:r>
          </w:p>
        </w:tc>
      </w:tr>
    </w:tbl>
    <w:p>
      <w:pPr>
        <w:spacing w:after="40"/>
      </w:pPr>
    </w:p>
    <w:p>
      <w:pPr>
        <w:pStyle w:val="Heading1"/>
      </w:pPr>
      <w:r>
        <w:t>Anexo E Agenda de reuniones</w:t>
      </w:r>
    </w:p>
    <w:tbl>
      <w:tblPr>
        <w:tblStyle w:val="TableGrid"/>
        <w:tblW w:type="auto" w:w="0"/>
        <w:jc w:val="center"/>
        <w:tblLayout w:type="fixed"/>
        <w:tblLook w:firstColumn="1" w:firstRow="1" w:lastColumn="0" w:lastRow="0" w:noHBand="0" w:noVBand="1" w:val="04A0"/>
        <w:tblBorders>
          <w:top w:val="single" w:sz="4" w:color="D9D9D9"/>
          <w:start w:val="single" w:sz="4" w:color="D9D9D9"/>
          <w:bottom w:val="single" w:sz="4" w:color="D9D9D9"/>
          <w:end w:val="single" w:sz="4" w:color="D9D9D9"/>
          <w:insideH w:val="single" w:sz="4" w:color="D9D9D9"/>
          <w:insideV w:val="single" w:sz="4" w:color="D9D9D9"/>
        </w:tblBorders>
      </w:tblPr>
      <w:tblGrid>
        <w:gridCol w:w="2520"/>
        <w:gridCol w:w="2520"/>
        <w:gridCol w:w="2520"/>
        <w:gridCol w:w="2520"/>
      </w:tblGrid>
      <w:tr>
        <w:trPr>
          <w:tblHeader w:val="true"/>
        </w:trPr>
        <w:tc>
          <w:tcPr>
            <w:tcW w:type="dxa" w:w="2088"/>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Reunión</w:t>
            </w:r>
          </w:p>
        </w:tc>
        <w:tc>
          <w:tcPr>
            <w:tcW w:type="dxa" w:w="259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Participantes</w:t>
            </w:r>
          </w:p>
        </w:tc>
        <w:tc>
          <w:tcPr>
            <w:tcW w:type="dxa" w:w="3672"/>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Contenido fijo</w:t>
            </w:r>
          </w:p>
        </w:tc>
        <w:tc>
          <w:tcPr>
            <w:tcW w:type="dxa" w:w="1440"/>
            <w:vAlign w:val="center"/>
            <w:tcMar>
              <w:top w:w="100" w:type="dxa"/>
              <w:start w:w="110" w:type="dxa"/>
              <w:bottom w:w="100" w:type="dxa"/>
              <w:end w:w="110" w:type="dxa"/>
            </w:tcMar>
            <w:shd w:fill="173B3F"/>
          </w:tcPr>
          <w:p>
            <w:pPr>
              <w:spacing w:after="0" w:line="252" w:lineRule="auto"/>
              <w:jc w:val="center"/>
            </w:pPr>
            <w:r/>
            <w:r>
              <w:rPr>
                <w:rFonts w:ascii="Liberation Sans" w:hAnsi="Liberation Sans"/>
                <w:b/>
                <w:color w:val="FFFFFF"/>
                <w:sz w:val="17"/>
              </w:rPr>
              <w:t>Producto</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Revisión semanal de nodo</w:t>
            </w:r>
          </w:p>
        </w:tc>
        <w:tc>
          <w:tcPr>
            <w:tcW w:type="dxa" w:w="259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Responsable de nodo y líderes operativos</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Casos críticos, referencias, stock, acceso y tareas</w:t>
            </w:r>
          </w:p>
        </w:tc>
        <w:tc>
          <w:tcPr>
            <w:tcW w:type="dxa" w:w="14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Lista breve de acciones</w:t>
            </w:r>
          </w:p>
        </w:tc>
      </w:tr>
      <w:tr>
        <w:trPr>
          <w:cantSplit/>
        </w:trPr>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Comité clínico mensual</w:t>
            </w:r>
          </w:p>
        </w:tc>
        <w:tc>
          <w:tcPr>
            <w:tcW w:type="dxa" w:w="259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Equipo clínico nutricional y HEW</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Muertes, eventos, calidad, resultados y protocolos</w:t>
            </w:r>
          </w:p>
        </w:tc>
        <w:tc>
          <w:tcPr>
            <w:tcW w:type="dxa" w:w="1440"/>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Acciones correctivas</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Revisión mensual de datos</w:t>
            </w:r>
          </w:p>
        </w:tc>
        <w:tc>
          <w:tcPr>
            <w:tcW w:type="dxa" w:w="259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MEL, HMIS y responsables</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Cobertura, calidad, equidad, duplicados y faltantes</w:t>
            </w:r>
          </w:p>
        </w:tc>
        <w:tc>
          <w:tcPr>
            <w:tcW w:type="dxa" w:w="1440"/>
            <w:vAlign w:val="center"/>
            <w:tcMar>
              <w:top w:w="100" w:type="dxa"/>
              <w:start w:w="110" w:type="dxa"/>
              <w:bottom w:w="100" w:type="dxa"/>
              <w:end w:w="110" w:type="dxa"/>
            </w:tcMar>
          </w:tcPr>
          <w:p>
            <w:pPr>
              <w:spacing w:after="0" w:line="252" w:lineRule="auto"/>
              <w:jc w:val="center"/>
            </w:pPr>
            <w:r/>
            <w:r>
              <w:rPr>
                <w:rFonts w:ascii="Liberation Sans" w:hAnsi="Liberation Sans"/>
                <w:b w:val="0"/>
                <w:color w:val="000000"/>
                <w:sz w:val="15"/>
              </w:rPr>
              <w:t>Tablero validado</w:t>
            </w:r>
          </w:p>
        </w:tc>
      </w:tr>
      <w:tr>
        <w:trPr>
          <w:cantSplit/>
        </w:trPr>
        <w:tc>
          <w:tcPr>
            <w:tcW w:type="dxa" w:w="2088"/>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Foro comunitario bimestral</w:t>
            </w:r>
          </w:p>
        </w:tc>
        <w:tc>
          <w:tcPr>
            <w:tcW w:type="dxa" w:w="259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Representantes y equipo local</w:t>
            </w:r>
          </w:p>
        </w:tc>
        <w:tc>
          <w:tcPr>
            <w:tcW w:type="dxa" w:w="3672"/>
            <w:vAlign w:val="center"/>
            <w:tcMar>
              <w:top w:w="100" w:type="dxa"/>
              <w:start w:w="110" w:type="dxa"/>
              <w:bottom w:w="100" w:type="dxa"/>
              <w:end w:w="110" w:type="dxa"/>
            </w:tcMar>
            <w:shd w:fill="F5F8F7"/>
          </w:tcPr>
          <w:p>
            <w:pPr>
              <w:spacing w:after="0" w:line="252" w:lineRule="auto"/>
              <w:jc w:val="left"/>
            </w:pPr>
            <w:r/>
            <w:r>
              <w:rPr>
                <w:rFonts w:ascii="Liberation Sans" w:hAnsi="Liberation Sans"/>
                <w:b w:val="0"/>
                <w:color w:val="000000"/>
                <w:sz w:val="15"/>
              </w:rPr>
              <w:t>Barreras, experiencia, quejas y cambios</w:t>
            </w:r>
          </w:p>
        </w:tc>
        <w:tc>
          <w:tcPr>
            <w:tcW w:type="dxa" w:w="1440"/>
            <w:vAlign w:val="center"/>
            <w:tcMar>
              <w:top w:w="100" w:type="dxa"/>
              <w:start w:w="110" w:type="dxa"/>
              <w:bottom w:w="100" w:type="dxa"/>
              <w:end w:w="110" w:type="dxa"/>
            </w:tcMar>
            <w:shd w:fill="F5F8F7"/>
          </w:tcPr>
          <w:p>
            <w:pPr>
              <w:spacing w:after="0" w:line="252" w:lineRule="auto"/>
              <w:jc w:val="center"/>
            </w:pPr>
            <w:r/>
            <w:r>
              <w:rPr>
                <w:rFonts w:ascii="Liberation Sans" w:hAnsi="Liberation Sans"/>
                <w:b w:val="0"/>
                <w:color w:val="000000"/>
                <w:sz w:val="15"/>
              </w:rPr>
              <w:t>Respuesta pública</w:t>
            </w:r>
          </w:p>
        </w:tc>
      </w:tr>
      <w:tr>
        <w:trPr>
          <w:cantSplit/>
        </w:trPr>
        <w:tc>
          <w:tcPr>
            <w:tcW w:type="dxa" w:w="2088"/>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Comité directivo trimestral</w:t>
            </w:r>
          </w:p>
        </w:tc>
        <w:tc>
          <w:tcPr>
            <w:tcW w:type="dxa" w:w="259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Gobierno, socios y comunidad</w:t>
            </w:r>
          </w:p>
        </w:tc>
        <w:tc>
          <w:tcPr>
            <w:tcW w:type="dxa" w:w="3672"/>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Resultados, riesgos, presupuesto y decisiones</w:t>
            </w:r>
          </w:p>
        </w:tc>
        <w:tc>
          <w:tcPr>
            <w:tcW w:type="dxa" w:w="1440"/>
            <w:vAlign w:val="center"/>
            <w:tcMar>
              <w:top w:w="100" w:type="dxa"/>
              <w:start w:w="110" w:type="dxa"/>
              <w:bottom w:w="100" w:type="dxa"/>
              <w:end w:w="110" w:type="dxa"/>
            </w:tcMar>
          </w:tcPr>
          <w:p>
            <w:pPr>
              <w:spacing w:after="0" w:line="252" w:lineRule="auto"/>
              <w:jc w:val="left"/>
            </w:pPr>
            <w:r/>
            <w:r>
              <w:rPr>
                <w:rFonts w:ascii="Liberation Sans" w:hAnsi="Liberation Sans"/>
                <w:b w:val="0"/>
                <w:color w:val="000000"/>
                <w:sz w:val="15"/>
              </w:rPr>
              <w:t>Acta de decisiones</w:t>
            </w:r>
          </w:p>
        </w:tc>
      </w:tr>
    </w:tbl>
    <w:p>
      <w:pPr>
        <w:spacing w:after="40"/>
      </w:pPr>
    </w:p>
    <w:p>
      <w:pPr>
        <w:pStyle w:val="Heading1"/>
      </w:pPr>
      <w:r>
        <w:t>Anexo F Lista de preparación para el lanzamiento</w:t>
      </w:r>
    </w:p>
    <w:p>
      <w:r>
        <w:t>☐ Autoridad y convenios confirmados</w:t>
      </w:r>
    </w:p>
    <w:p>
      <w:r>
        <w:t>☐ Ámbito y población validados</w:t>
      </w:r>
    </w:p>
    <w:p>
      <w:r>
        <w:t>☐ Presupuesto y flujo de caja aprobados</w:t>
      </w:r>
    </w:p>
    <w:p>
      <w:r>
        <w:t>☐ Personal crítico contratado y verificado</w:t>
      </w:r>
    </w:p>
    <w:p>
      <w:r>
        <w:t>☐ Protocolos clínicos vigentes disponibles</w:t>
      </w:r>
    </w:p>
    <w:p>
      <w:r>
        <w:t>☐ Referencias y transporte probados</w:t>
      </w:r>
    </w:p>
    <w:p>
      <w:r>
        <w:t>☐ Suministros trazadores disponibles</w:t>
      </w:r>
    </w:p>
    <w:p>
      <w:r>
        <w:t>☐ Agua y prevención de infecciones seguras</w:t>
      </w:r>
    </w:p>
    <w:p>
      <w:r>
        <w:t>☐ Registro y protección de datos operativos</w:t>
      </w:r>
    </w:p>
    <w:p>
      <w:r>
        <w:t>☐ Código de conducta y salvaguardas activos</w:t>
      </w:r>
    </w:p>
    <w:p>
      <w:r>
        <w:t>☐ Canales de queja comunicados</w:t>
      </w:r>
    </w:p>
    <w:p>
      <w:r>
        <w:t>☐ Plan de seguridad y continuidad probado</w:t>
      </w:r>
    </w:p>
    <w:p>
      <w:r>
        <w:t>☐ Línea de base aprobada</w:t>
      </w:r>
    </w:p>
    <w:p>
      <w:r>
        <w:t>☐ Comunicación comunitaria en Afaan Oromo</w:t>
      </w:r>
    </w:p>
    <w:p>
      <w:r>
        <w:t>☐ Puerta de decisión del día 100 documentada</w:t>
      </w:r>
    </w:p>
    <w:p>
      <w:pPr>
        <w:pStyle w:val="Heading1"/>
      </w:pPr>
      <w:r>
        <w:t>Fuentes</w:t>
      </w:r>
    </w:p>
    <w:p>
      <w:pPr>
        <w:spacing w:after="100"/>
      </w:pPr>
      <w:hyperlink r:id="rId10">
        <w:r>
          <w:rPr>
            <w:color w:val="2F6B5F"/>
            <w:u w:val="single"/>
          </w:rPr>
          <w:t>1 Ministerio de Salud de Etiopía  Health Extension Programme</w:t>
        </w:r>
      </w:hyperlink>
    </w:p>
    <w:p>
      <w:pPr>
        <w:spacing w:after="100"/>
      </w:pPr>
      <w:hyperlink r:id="rId11">
        <w:r>
          <w:rPr>
            <w:color w:val="2F6B5F"/>
            <w:u w:val="single"/>
          </w:rPr>
          <w:t>2 Ministerio de Salud de Etiopía  eCHIS</w:t>
        </w:r>
      </w:hyperlink>
    </w:p>
    <w:p>
      <w:pPr>
        <w:spacing w:after="100"/>
      </w:pPr>
      <w:hyperlink r:id="rId12">
        <w:r>
          <w:rPr>
            <w:color w:val="2F6B5F"/>
            <w:u w:val="single"/>
          </w:rPr>
          <w:t>3 UNICEF Etiopía  Informe anual 2024</w:t>
        </w:r>
      </w:hyperlink>
    </w:p>
    <w:p>
      <w:pPr>
        <w:spacing w:after="100"/>
      </w:pPr>
      <w:hyperlink r:id="rId13">
        <w:r>
          <w:rPr>
            <w:color w:val="2F6B5F"/>
            <w:u w:val="single"/>
          </w:rPr>
          <w:t>4 Organización Mundial de la Salud  Perfil de Etiopía</w:t>
        </w:r>
      </w:hyperlink>
    </w:p>
    <w:p>
      <w:pPr>
        <w:spacing w:after="100"/>
      </w:pPr>
      <w:hyperlink r:id="rId14">
        <w:r>
          <w:rPr>
            <w:color w:val="2F6B5F"/>
            <w:u w:val="single"/>
          </w:rPr>
          <w:t>5 Ministerio de Salud de Etiopía  Neonatal and Child Health Desk</w:t>
        </w:r>
      </w:hyperlink>
    </w:p>
    <w:p>
      <w:pPr>
        <w:spacing w:after="100"/>
      </w:pPr>
      <w:hyperlink r:id="rId15">
        <w:r>
          <w:rPr>
            <w:color w:val="2F6B5F"/>
            <w:u w:val="single"/>
          </w:rPr>
          <w:t>6 Ministerio de Salud de Etiopía  Seqota Declaration</w:t>
        </w:r>
      </w:hyperlink>
    </w:p>
    <w:p>
      <w:pPr>
        <w:spacing w:after="100"/>
      </w:pPr>
      <w:hyperlink r:id="rId16">
        <w:r>
          <w:rPr>
            <w:color w:val="2F6B5F"/>
            <w:u w:val="single"/>
          </w:rPr>
          <w:t>7 Ministerio de Salud de Etiopía  National Nutrition Program</w:t>
        </w:r>
      </w:hyperlink>
    </w:p>
    <w:p>
      <w:pPr>
        <w:spacing w:after="100"/>
      </w:pPr>
      <w:hyperlink r:id="rId17">
        <w:r>
          <w:rPr>
            <w:color w:val="2F6B5F"/>
            <w:u w:val="single"/>
          </w:rPr>
          <w:t>8 Fundación Probitas  Clínica materno infantil de Meki</w:t>
        </w:r>
      </w:hyperlink>
    </w:p>
    <w:p>
      <w:pPr>
        <w:spacing w:after="100"/>
      </w:pPr>
      <w:hyperlink r:id="rId18">
        <w:r>
          <w:rPr>
            <w:color w:val="2F6B5F"/>
            <w:u w:val="single"/>
          </w:rPr>
          <w:t>9 Hospital Rural de Gambo  Programa nutricional</w:t>
        </w:r>
      </w:hyperlink>
    </w:p>
    <w:p>
      <w:pPr>
        <w:spacing w:after="100"/>
      </w:pPr>
      <w:hyperlink r:id="rId19">
        <w:r>
          <w:rPr>
            <w:color w:val="2F6B5F"/>
            <w:u w:val="single"/>
          </w:rPr>
          <w:t>10 Hospital Rural de Gambo  Programa materno infantil</w:t>
        </w:r>
      </w:hyperlink>
    </w:p>
    <w:p>
      <w:pPr>
        <w:spacing w:after="100"/>
      </w:pPr>
      <w:hyperlink r:id="rId20">
        <w:r>
          <w:rPr>
            <w:color w:val="2F6B5F"/>
            <w:u w:val="single"/>
          </w:rPr>
          <w:t>11 Organización Mundial de la Salud  Recomendaciones de atención prenatal</w:t>
        </w:r>
      </w:hyperlink>
    </w:p>
    <w:p>
      <w:pPr>
        <w:spacing w:after="100"/>
      </w:pPr>
      <w:hyperlink r:id="rId21">
        <w:r>
          <w:rPr>
            <w:color w:val="2F6B5F"/>
            <w:u w:val="single"/>
          </w:rPr>
          <w:t>12 Organización Mundial de la Salud  Infant and young child feeding</w:t>
        </w:r>
      </w:hyperlink>
    </w:p>
    <w:p>
      <w:pPr>
        <w:spacing w:after="100"/>
      </w:pPr>
      <w:hyperlink r:id="rId22">
        <w:r>
          <w:rPr>
            <w:color w:val="2F6B5F"/>
            <w:u w:val="single"/>
          </w:rPr>
          <w:t>13 Organización Mundial de la Salud  Guideline for complementary feeding 6 to 23 months</w:t>
        </w:r>
      </w:hyperlink>
    </w:p>
    <w:p>
      <w:pPr>
        <w:spacing w:after="100"/>
      </w:pPr>
      <w:hyperlink r:id="rId23">
        <w:r>
          <w:rPr>
            <w:color w:val="2F6B5F"/>
            <w:u w:val="single"/>
          </w:rPr>
          <w:t>14 Organización Mundial de la Salud  Nurturing Care Framework</w:t>
        </w:r>
      </w:hyperlink>
    </w:p>
    <w:p>
      <w:pPr>
        <w:spacing w:after="100"/>
      </w:pPr>
      <w:hyperlink r:id="rId24">
        <w:r>
          <w:rPr>
            <w:color w:val="2F6B5F"/>
            <w:u w:val="single"/>
          </w:rPr>
          <w:t>15 UNICEF Etiopía  Enhanced Community Based Nutrition en Oromía</w:t>
        </w:r>
      </w:hyperlink>
    </w:p>
    <w:p>
      <w:pPr>
        <w:spacing w:after="100"/>
      </w:pPr>
      <w:hyperlink r:id="rId25">
        <w:r>
          <w:rPr>
            <w:color w:val="2F6B5F"/>
            <w:u w:val="single"/>
          </w:rPr>
          <w:t>16 Ministerio de Salud de Etiopía  Primary Healthcare Facility Accreditation Standards</w:t>
        </w:r>
      </w:hyperlink>
    </w:p>
    <w:p>
      <w:pPr>
        <w:pStyle w:val="Heading2"/>
      </w:pPr>
      <w:r>
        <w:t>Nota de uso</w:t>
      </w:r>
    </w:p>
    <w:p>
      <w:r>
        <w:t>Este documento es un diseño de programa y no sustituye protocolos clínicos, autorizaciones públicas, evaluación ética, estudio de seguridad ni línea de base. Las cifras locales, capacidades y costes deben confirmarse con las autoridades y los establecimientos antes de contratar el despliegue completo.</w:t>
      </w:r>
    </w:p>
    <w:sectPr w:rsidR="00FC693F" w:rsidRPr="0006063C" w:rsidSect="00034616">
      <w:footerReference w:type="default" r:id="rId9"/>
      <w:pgSz w:w="12240" w:h="15840"/>
      <w:pgMar w:top="1037" w:right="1037"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706F"/>
        <w:sz w:val="16"/>
      </w:rPr>
      <w:t xml:space="preserve">Proyecto Primeros 1000 Días Meki Gambo 2027 2031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iberation Sans" w:hAnsi="Liberation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Liberation Sans" w:hAnsi="Liberation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Liberation Sans" w:hAnsi="Liberation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Liberation Sans" w:hAnsi="Liberation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Liberation Sans" w:hAnsi="Liberation Sans"/>
      <w:color w:val="66706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moh.gov.et/initiatives-4-col/disease-prevention-and-control" TargetMode="External"/><Relationship Id="rId11" Type="http://schemas.openxmlformats.org/officeDocument/2006/relationships/hyperlink" Target="https://www.moh.gov.et/node/216" TargetMode="External"/><Relationship Id="rId12" Type="http://schemas.openxmlformats.org/officeDocument/2006/relationships/hyperlink" Target="https://www.unicef.org/ethiopia/media/12326/file/UNICEF%20Ethiopia-Annual-Report-2024.pdf.pdf" TargetMode="External"/><Relationship Id="rId13" Type="http://schemas.openxmlformats.org/officeDocument/2006/relationships/hyperlink" Target="https://www.who.int/data/gho/data/countries/country-details/gho/ethiopia" TargetMode="External"/><Relationship Id="rId14" Type="http://schemas.openxmlformats.org/officeDocument/2006/relationships/hyperlink" Target="https://moh.gov.et/en/initiatives-4-col/Newborn_and_Child_Health_Care?language_content_entity=en" TargetMode="External"/><Relationship Id="rId15" Type="http://schemas.openxmlformats.org/officeDocument/2006/relationships/hyperlink" Target="https://moh.gov.et/en/initiatives-4-col/Seqota_Declaration?language_content_entity=am" TargetMode="External"/><Relationship Id="rId16" Type="http://schemas.openxmlformats.org/officeDocument/2006/relationships/hyperlink" Target="https://www.moh.gov.et/node/167" TargetMode="External"/><Relationship Id="rId17" Type="http://schemas.openxmlformats.org/officeDocument/2006/relationships/hyperlink" Target="https://www.fundacionprobitas.org/en/-/gli-etiopia" TargetMode="External"/><Relationship Id="rId18" Type="http://schemas.openxmlformats.org/officeDocument/2006/relationships/hyperlink" Target="https://gambohospital.org/nutricion/" TargetMode="External"/><Relationship Id="rId19" Type="http://schemas.openxmlformats.org/officeDocument/2006/relationships/hyperlink" Target="https://gambohospital.org/materno-infantil/" TargetMode="External"/><Relationship Id="rId20" Type="http://schemas.openxmlformats.org/officeDocument/2006/relationships/hyperlink" Target="https://www.who.int/news/item/07-11-2016-pregnant-women-must-be-able-to-access-the-right-care-at-the-right-time-says-who" TargetMode="External"/><Relationship Id="rId21" Type="http://schemas.openxmlformats.org/officeDocument/2006/relationships/hyperlink" Target="https://www.who.int/data/nutrition/nlis/info/infant-and-young-child-feeding" TargetMode="External"/><Relationship Id="rId22" Type="http://schemas.openxmlformats.org/officeDocument/2006/relationships/hyperlink" Target="https://www.who.int/publications/i/item/9789240081864" TargetMode="External"/><Relationship Id="rId23" Type="http://schemas.openxmlformats.org/officeDocument/2006/relationships/hyperlink" Target="https://www.who.int/publications/i/item/9789241514064" TargetMode="External"/><Relationship Id="rId24" Type="http://schemas.openxmlformats.org/officeDocument/2006/relationships/hyperlink" Target="https://www.unicef.org/ethiopia/stories/nutrition-forefront-communities-agenda-0" TargetMode="External"/><Relationship Id="rId25" Type="http://schemas.openxmlformats.org/officeDocument/2006/relationships/hyperlink" Target="https://www.moh.gov.et/sites/default/files/2025-06/Ethiopian%20Healthcare%20Accreditation%20Program-%20EHAP%20Primary%20healthcare%20accreditation%20Requirem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integral de los primeros 1000 días en Meki y Gambo</dc:title>
  <dc:subject>Diseño de programa de salud materna neonatal nutrición y desarrollo infantil 2027 2031</dc:subject>
  <dc:creator>Equipo del proyecto</dc:creator>
  <cp:keywords>Etiopía, Oromía, Meki, Gambo, primeros 1000 días, nutrición, salud materno infantil</cp:keywords>
  <dc:description>generated by python-docx</dc:description>
  <cp:lastModifiedBy/>
  <cp:revision>1</cp:revision>
  <dcterms:created xsi:type="dcterms:W3CDTF">2013-12-23T23:15:00Z</dcterms:created>
  <dcterms:modified xsi:type="dcterms:W3CDTF">2013-12-23T23:15:00Z</dcterms:modified>
  <cp:category/>
</cp:coreProperties>
</file>